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52 MTBG — Europäischer Berufsausweis</w:t>
      </w:r>
    </w:p>
    <w:p>
      <w:r>
        <w:rPr>
          <w:color w:val="555555"/>
          <w:sz w:val="18"/>
        </w:rPr>
        <w:t xml:space="preserve">MT-Berufe-Gesetz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Für den Fall einer Einführung eines Europäischen Berufsausweises für den Beruf</w:t>
      </w:r>
    </w:p>
    <w:p>
      <w:pPr>
        <w:ind w:left="420"/>
      </w:pPr>
      <w:r>
        <w:t xml:space="preserve">1. „Medizinische Technologin für Laboratoriumsanalytik“ oder „Medizinischer Technologe für Laboratoriumsanalytik“,</w:t>
      </w:r>
    </w:p>
    <w:p>
      <w:pPr>
        <w:ind w:left="420"/>
      </w:pPr>
      <w:r>
        <w:t xml:space="preserve">2. „Medizinische Technologin für Radiologie“ oder „Medizinischer Technologe für Radiologie“,</w:t>
      </w:r>
    </w:p>
    <w:p>
      <w:pPr>
        <w:ind w:left="420"/>
      </w:pPr>
      <w:r>
        <w:t xml:space="preserve">3. „Medizinische Technologin für Funktionsdiagnostik“ oder „Medizinischer Technologe für Funktionsdiagnostik“ oder</w:t>
      </w:r>
    </w:p>
    <w:p>
      <w:pPr>
        <w:ind w:left="420"/>
      </w:pPr>
      <w:r>
        <w:t xml:space="preserve">4. „Medizinische Technologin für Veterinärmedizin“ oder „Medizinischer Technologe für Veterinärmedizin“</w:t>
      </w:r>
    </w:p>
    <w:p>
      <w:r>
        <w:t xml:space="preserve">gelten für den jeweiligen Beruf die Regelungen über die Anerkennung von Berufsqualifikationen dieses Teils entsprechend.</w:t>
      </w:r>
    </w:p>
    <w:p>
      <w:r>
        <w:rPr>
          <w:color w:val="555555"/>
          <w:sz w:val="17"/>
        </w:rPr>
        <w:t xml:space="preserve">Zitiervorschlag: § 52 MTBG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https://recht.nulegal.eu/gesetze/MTBG/52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52 MTBG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