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MTBG — Anpassungsmaßnahmen</w:t>
      </w:r>
    </w:p>
    <w:p>
      <w:r>
        <w:rPr>
          <w:color w:val="555555"/>
          <w:sz w:val="18"/>
        </w:rPr>
        <w:t xml:space="preserve">MT-Berufe-Gesetz</w:t>
      </w:r>
    </w:p>
    <w:p>
      <w:r>
        <w:rPr>
          <w:color w:val="555555"/>
          <w:sz w:val="18"/>
        </w:rPr>
        <w:t xml:space="preserve">Stand: 01.01.2023 (konsolidierte Textfassung, kein amtliches Inkrafttretensdatum)</w:t>
      </w:r>
    </w:p>
    <w:p>
      <w:r>
        <w:t xml:space="preserve">(1) Ist die Berufsqualifikation der antragstellenden Person nicht mit derjenigen in diesem Gesetz geregelten Berufsqualifikationen, deren Anerkennung angestrebt wird, gleichwertig, ist für eine Anerkennung eine Anpassungsmaßnahme nach § 50 oder § 51 durchzuführen.</w:t>
      </w:r>
    </w:p>
    <w:p>
      <w:r>
        <w:t xml:space="preserve">(2) Dies gilt auch für den Fall, dass die Gleichwertigkeit der Berufsqualifikation der antragstellenden Person nur mit unangemessenem zeitlichem oder sachlichem Aufwand festgestellt werden kann, weil die erforderlichen Unterlagen und Nachweise aus Gründen, die die antragstellende Person nicht zu vertreten hat, nicht vorgelegt werden können.</w:t>
      </w:r>
    </w:p>
    <w:p>
      <w:r>
        <w:rPr>
          <w:color w:val="555555"/>
          <w:sz w:val="17"/>
        </w:rPr>
        <w:t xml:space="preserve">Zitiervorschlag: § 49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