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MTBG — Ausgleich wesentlicher Unterschiede durch Berufserfahrung oder lebenslanges Lernen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Wesentliche Unterschiede nach § 47 können ganz oder teilweise ausgeglichen werden durch Kenntnisse, Fähigkeiten und Kompetenzen, welche die antragstellende Person erworben hat</w:t>
      </w:r>
    </w:p>
    <w:p>
      <w:pPr>
        <w:ind w:left="420"/>
      </w:pPr>
      <w:r>
        <w:t xml:space="preserve">1. durch ihre Berufserfahrung im Rahmen der tatsächlichen und rechtmäßigen Ausübung desjenigen Berufs, für den die Anerkennung angestrebt wird, in Vollzeit oder Teilzeit oder</w:t>
      </w:r>
    </w:p>
    <w:p>
      <w:pPr>
        <w:ind w:left="420"/>
      </w:pPr>
      <w:r>
        <w:t xml:space="preserve">2. durch lebenslanges Lernen.</w:t>
      </w:r>
    </w:p>
    <w:p>
      <w:r>
        <w:t xml:space="preserve">Die nach Satz 1 Nummer 2 erworbenen Kenntnisse, Fähigkeiten und Kompetenzen werden nur anerkannt, wenn sie von einer dafür im jeweiligen Staat zuständigen Stelle formal als gültig anerkannt worden sind.</w:t>
      </w:r>
    </w:p>
    <w:p>
      <w:r>
        <w:t xml:space="preserve">(2) Nicht entscheidend ist, in welchem Staat die Kenntnisse, Fähigkeiten und Kompetenzen erworben worden sind.</w:t>
      </w:r>
    </w:p>
    <w:p>
      <w:r>
        <w:rPr>
          <w:color w:val="555555"/>
          <w:sz w:val="17"/>
        </w:rPr>
        <w:t xml:space="preserve">Zitiervorschlag: § 48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