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MTBG — Anerkennung von außerhalb des Geltungsbereichs dieses Gesetzes erworbenen Berufsqualifikationen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Eine außerhalb des Geltungsbereichs dieses Gesetzes erworbene Berufsqualifikation erfüllt die Voraussetzung nach § 1 Absatz 2 Nummer 1, wenn diese Berufsqualifikation anerkannt wird.</w:t>
      </w:r>
    </w:p>
    <w:p>
      <w:r>
        <w:t xml:space="preserve">(2) Eine Berufsqualifikation wird anerkannt, wenn</w:t>
      </w:r>
    </w:p>
    <w:p>
      <w:pPr>
        <w:ind w:left="420"/>
      </w:pPr>
      <w:r>
        <w:t xml:space="preserve">1. sie mit einer der in diesem Gesetz geregelten Berufsqualifikationen gleichwertig ist oder</w:t>
      </w:r>
    </w:p>
    <w:p>
      <w:pPr>
        <w:ind w:left="420"/>
      </w:pPr>
      <w:r>
        <w:t xml:space="preserve">2. die antragstellende Person die erforderliche Anpassungsmaßnahme erfolgreich absolviert hat.</w:t>
      </w:r>
    </w:p>
    <w:p>
      <w:r>
        <w:t xml:space="preserve">(3) Eine Berufsqualifikation ist mit einer der in diesem Gesetz geregelten Berufsqualifikationen gleichwertig, wenn</w:t>
      </w:r>
    </w:p>
    <w:p>
      <w:pPr>
        <w:ind w:left="420"/>
      </w:pPr>
      <w:r>
        <w:t xml:space="preserve">1. sie sich nicht wesentlich unterscheidet von der jeweiligen in diesem Gesetz geregelten Berufsqualifikation</w:t>
      </w:r>
    </w:p>
    <w:p>
      <w:pPr>
        <w:ind w:left="780"/>
      </w:pPr>
      <w:r>
        <w:t xml:space="preserve">a) „Medizinische Technologin für Laboratoriumsanalytik“ oder „Medizinischer Technologe für Laboratoriumsanalytik“,</w:t>
      </w:r>
    </w:p>
    <w:p>
      <w:pPr>
        <w:ind w:left="780"/>
      </w:pPr>
      <w:r>
        <w:t xml:space="preserve">b) „Medizinische Technologin für Radiologie“ oder „Medizinischer Technologe für Radiologie“,</w:t>
      </w:r>
    </w:p>
    <w:p>
      <w:pPr>
        <w:ind w:left="780"/>
      </w:pPr>
      <w:r>
        <w:t xml:space="preserve">c) „Medizinische Technologin für Funktionsdiagnostik“ oder „Medizinischer Technologe für Funktionsdiagnostik“ oder</w:t>
      </w:r>
    </w:p>
    <w:p>
      <w:pPr>
        <w:ind w:left="780"/>
      </w:pPr>
      <w:r>
        <w:t xml:space="preserve">d) „Medizinische Technologin für Veterinärmedizin“ oder „Medizinischer Technologe für Veterinärmedizin“</w:t>
      </w:r>
    </w:p>
    <w:p>
      <w:pPr>
        <w:ind w:left="420"/>
      </w:pPr>
      <w:r>
        <w:t xml:space="preserve">oder</w:t>
      </w:r>
    </w:p>
    <w:p>
      <w:pPr>
        <w:ind w:left="420"/>
      </w:pPr>
      <w:r>
        <w:t xml:space="preserve">2. wesentliche Unterschiede vollständig durch den Nachweis von Kenntnissen, Fähigkeiten und Kompetenzen nach § 48 ausgeglichen werden.</w:t>
      </w:r>
    </w:p>
    <w:p>
      <w:r>
        <w:rPr>
          <w:color w:val="555555"/>
          <w:sz w:val="17"/>
        </w:rPr>
        <w:t xml:space="preserve">Zitiervorschlag: § 46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