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MTBG — Wirksamkeit der Kündigung</w:t>
      </w:r>
    </w:p>
    <w:p>
      <w:r>
        <w:rPr>
          <w:color w:val="555555"/>
          <w:sz w:val="18"/>
        </w:rPr>
        <w:t xml:space="preserve">MT-Berufe-Gesetz</w:t>
      </w:r>
    </w:p>
    <w:p>
      <w:r>
        <w:rPr>
          <w:color w:val="555555"/>
          <w:sz w:val="18"/>
        </w:rPr>
        <w:t xml:space="preserve">Stand: 01.01.2023 (konsolidierte Textfassung, kein amtliches Inkrafttretensdatum)</w:t>
      </w:r>
    </w:p>
    <w:p>
      <w:r>
        <w:t xml:space="preserve">(1) Die Kündigung muss schriftlich erfolgen.</w:t>
      </w:r>
    </w:p>
    <w:p>
      <w:r>
        <w:t xml:space="preserve">(2) Bei einer Kündigung durch den Träger der praktischen Ausbildung ist zuvor das Benehmen mit der Schule herzustellen.</w:t>
      </w:r>
    </w:p>
    <w:p>
      <w:r>
        <w:t xml:space="preserve">(3) Bei Kündigung aus wichtigem Grund nach § 38 Absatz 2 Nummer 1 ist der Kündigungsgrund anzugeben.</w:t>
      </w:r>
    </w:p>
    <w:p>
      <w:r>
        <w:t xml:space="preserve">(4) Eine Kündigung aus wichtigem Grund ist unwirksam, wenn die ihr zugrunde liegenden Tatsachen der kündigungsberechtigten Person länger als zwei Wochen bekannt sind. Ist ein vorgesehenes Güteverfahren vor einer außergerichtlichen Stelle eingeleitet, so wird bis zu dessen Beendigung der Lauf der Frist nach Satz 1 gehemmt.</w:t>
      </w:r>
    </w:p>
    <w:p>
      <w:r>
        <w:rPr>
          <w:color w:val="555555"/>
          <w:sz w:val="17"/>
        </w:rPr>
        <w:t xml:space="preserve">Zitiervorschlag: § 39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