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MTBG — Pflichten des Trägers der praktischen Ausbildung</w:t>
      </w:r>
    </w:p>
    <w:p>
      <w:r>
        <w:rPr>
          <w:color w:val="555555"/>
          <w:sz w:val="18"/>
        </w:rPr>
        <w:t xml:space="preserve">MT-Berufe-Gesetz</w:t>
      </w:r>
    </w:p>
    <w:p>
      <w:r>
        <w:rPr>
          <w:color w:val="555555"/>
          <w:sz w:val="18"/>
        </w:rPr>
        <w:t xml:space="preserve">Stand: 01.01.2023 (konsolidierte Textfassung, kein amtliches Inkrafttretensdatum)</w:t>
      </w:r>
    </w:p>
    <w:p>
      <w:r>
        <w:t xml:space="preserve">(1) Der Träger der praktischen Ausbildung ist insbesondere verpflichtet,</w:t>
      </w:r>
    </w:p>
    <w:p>
      <w:pPr>
        <w:ind w:left="420"/>
      </w:pPr>
      <w:r>
        <w:t xml:space="preserve">1. die praktische Ausbildung auf der Grundlage des Ausbildungsplans durchzuführen,</w:t>
      </w:r>
    </w:p>
    <w:p>
      <w:pPr>
        <w:ind w:left="420"/>
      </w:pPr>
      <w:r>
        <w:t xml:space="preserve">2. zu gewährleisten, dass die im Ausbildungsplan vorgesehenen Teile der praktischen Ausbildung durchgeführt werden können,</w:t>
      </w:r>
    </w:p>
    <w:p>
      <w:pPr>
        <w:ind w:left="420"/>
      </w:pPr>
      <w:r>
        <w:t xml:space="preserve">3. sicherzustellen, dass die auszubildende Person im nach § 19 Absatz 2 vorgesehenen Umfang während der praktischen Ausbildung von einer praxisanleitenden Person angeleitet wird,</w:t>
      </w:r>
    </w:p>
    <w:p>
      <w:pPr>
        <w:ind w:left="420"/>
      </w:pPr>
      <w:r>
        <w:t xml:space="preserve">4. der auszubildenden Person kostenlos die Ausbildungsmittel, insbesondere Fachbücher, Zugang zu Datenbanken, Instrumente und Apparate zur Verfügung zu stellen, die für die Absolvierung der praktischen Ausbildung und für das Ablegen der staatlichen Prüfung erforderlich sind,</w:t>
      </w:r>
    </w:p>
    <w:p>
      <w:pPr>
        <w:ind w:left="420"/>
      </w:pPr>
      <w:r>
        <w:t xml:space="preserve">5. die auszubildende Person für die Teilnahme an Ausbildungsveranstaltungen der Schule und für die Teilnahme an Prüfungen freizustellen und</w:t>
      </w:r>
    </w:p>
    <w:p>
      <w:pPr>
        <w:ind w:left="420"/>
      </w:pPr>
      <w:r>
        <w:t xml:space="preserve">6. bei der Gestaltung der praktischen Ausbildung auf die erforderlichen Lern- und Vorbereitungszeiten Rücksicht zu nehmen.</w:t>
      </w:r>
    </w:p>
    <w:p>
      <w:r>
        <w:t xml:space="preserve">(2) Der auszubildenden Person dürfen nur Aufgaben übertragen werden, die dem Ausbildungszweck und dem Ausbildungsstand entsprechen. Die übertragenen Aufgaben müssen den physischen und psychischen Kräften der auszubildenden Person angemessen sein.</w:t>
      </w:r>
    </w:p>
    <w:p>
      <w:r>
        <w:t xml:space="preserve">(3) Im Fall von § 21 Absatz 2 Nummer 3 hat der Träger der praktischen Ausbildung die Erfüllung der Pflichten nach den Absätzen 1 und 2 bei den weiteren Einrichtungen der praktischen Ausbildung sicherzustellen.</w:t>
      </w:r>
    </w:p>
    <w:p>
      <w:r>
        <w:rPr>
          <w:color w:val="555555"/>
          <w:sz w:val="17"/>
        </w:rPr>
        <w:t xml:space="preserve">Zitiervorschlag: § 31 MTBG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https://recht.nulegal.eu/gesetze/MTBG/31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