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MTBG — Anwendbares Recht</w:t>
      </w:r>
    </w:p>
    <w:p>
      <w:r>
        <w:rPr>
          <w:color w:val="555555"/>
          <w:sz w:val="18"/>
        </w:rPr>
        <w:t xml:space="preserve">MT-Berufe-Gesetz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Auf den Ausbildungsvertrag sind, soweit sich aus seinem Wesen und Zweck sowie aus diesem Gesetz nichts anderes ergibt, die für den Arbeitsvertrag geltenden Rechtsvorschriften und Rechtsgrundsätze anzuwenden.</w:t>
      </w:r>
    </w:p>
    <w:p>
      <w:r>
        <w:rPr>
          <w:color w:val="555555"/>
          <w:sz w:val="17"/>
        </w:rPr>
        <w:t xml:space="preserve">Zitiervorschlag: § 30 MTBG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https://recht.nulegal.eu/gesetze/MTBG/30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