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MTBG — Aufgaben und Gesamtverantwortung der Schule</w:t>
      </w:r>
    </w:p>
    <w:p>
      <w:r>
        <w:rPr>
          <w:color w:val="555555"/>
          <w:sz w:val="18"/>
        </w:rPr>
        <w:t xml:space="preserve">MT-Berufe-Gesetz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Schule</w:t>
      </w:r>
    </w:p>
    <w:p>
      <w:pPr>
        <w:ind w:left="420"/>
      </w:pPr>
      <w:r>
        <w:t xml:space="preserve">1. wirkt mit dem Träger der praktischen Ausbildung auf der Grundlage von Kooperationsvereinbarungen zusammen,</w:t>
      </w:r>
    </w:p>
    <w:p>
      <w:pPr>
        <w:ind w:left="420"/>
      </w:pPr>
      <w:r>
        <w:t xml:space="preserve">2. trägt die Gesamtverantwortung für die Koordination des theoretischen und praktischen Unterrichts mit der praktischen Ausbildung,</w:t>
      </w:r>
    </w:p>
    <w:p>
      <w:pPr>
        <w:ind w:left="420"/>
      </w:pPr>
      <w:r>
        <w:t xml:space="preserve">3. erstellt ein schulinternes Curriculum,</w:t>
      </w:r>
    </w:p>
    <w:p>
      <w:pPr>
        <w:ind w:left="420"/>
      </w:pPr>
      <w:r>
        <w:t xml:space="preserve">4. prüft, ob der Ausbildungsplan für die praktische Ausbildung den Anforderungen des schulinternen Curriculums entspricht und</w:t>
      </w:r>
    </w:p>
    <w:p>
      <w:pPr>
        <w:ind w:left="420"/>
      </w:pPr>
      <w:r>
        <w:t xml:space="preserve">5. unterstützt die praktische Ausbildung durch eine Praxisbegleitung in angemessenem Umfang.</w:t>
      </w:r>
    </w:p>
    <w:p>
      <w:r>
        <w:rPr>
          <w:color w:val="555555"/>
          <w:sz w:val="17"/>
        </w:rPr>
        <w:t xml:space="preserve">Zitiervorschlag: § 22 MTBG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https://recht.nulegal.eu/gesetze/MTBG/22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MTBG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