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MTBG — Anrechnung von Fehlzeiten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Auf die Dauer der Ausbildung werden angerechnet:</w:t>
      </w:r>
    </w:p>
    <w:p>
      <w:pPr>
        <w:ind w:left="420"/>
      </w:pPr>
      <w:r>
        <w:t xml:space="preserve">1. Urlaub, einschließlich Bildungsurlaub,</w:t>
      </w:r>
    </w:p>
    <w:p>
      <w:pPr>
        <w:ind w:left="420"/>
      </w:pPr>
      <w:r>
        <w:t xml:space="preserve">2. Fehlzeiten wegen Krankheit oder aus anderen, von der auszubildenden Person nicht zu vertretenden Gründen</w:t>
      </w:r>
    </w:p>
    <w:p>
      <w:pPr>
        <w:ind w:left="780"/>
      </w:pPr>
      <w:r>
        <w:t xml:space="preserve">a) bis zu 10 Prozent der Stunden des theoretischen und praktischen Unterrichts sowie</w:t>
      </w:r>
    </w:p>
    <w:p>
      <w:pPr>
        <w:ind w:left="780"/>
      </w:pPr>
      <w:r>
        <w:t xml:space="preserve">b) bis zu 10 Prozent der Stunden der praktischen Ausbildung und</w:t>
      </w:r>
    </w:p>
    <w:p>
      <w:pPr>
        <w:ind w:left="420"/>
      </w:pPr>
      <w:r>
        <w:t xml:space="preserve">3. Fehlzeiten aufgrund mutterschutzrechtlicher Beschäftigungsverbote.</w:t>
      </w:r>
    </w:p>
    <w:p>
      <w:r>
        <w:t xml:space="preserve">Die Anrechnung von Fehlzeiten aufgrund mutterschutzrechtlicher Beschäftigungsverbote und von Fehlzeiten nach Satz 1 Nummer 2 darf die Gesamtdauer von 18 Wochen nicht überschreiten.</w:t>
      </w:r>
    </w:p>
    <w:p>
      <w:r>
        <w:t xml:space="preserve">(2) Auf Antrag der auszubildenden Person kann die zuständige Behörde auch über Absatz 1 hinausgehende Fehlzeiten berücksichtigen, wenn</w:t>
      </w:r>
    </w:p>
    <w:p>
      <w:pPr>
        <w:ind w:left="420"/>
      </w:pPr>
      <w:r>
        <w:t xml:space="preserve">1. eine besondere Härte vorliegt und</w:t>
      </w:r>
    </w:p>
    <w:p>
      <w:pPr>
        <w:ind w:left="420"/>
      </w:pPr>
      <w:r>
        <w:t xml:space="preserve">2. das Erreichen des allgemeinen und berufsspezifischen Ausbildungsziels durch die Anrechnung nicht gefährdet wird.</w:t>
      </w:r>
    </w:p>
    <w:p>
      <w:r>
        <w:t xml:space="preserve">(3) Freistellungsansprüche nach dem Betriebsverfassungsgesetz, dem Bundespersonalvertretungsgesetz oder den Landespersonalvertretungsgesetzen bleiben unberührt.</w:t>
      </w:r>
    </w:p>
    <w:p>
      <w:r>
        <w:rPr>
          <w:color w:val="555555"/>
          <w:sz w:val="17"/>
        </w:rPr>
        <w:t xml:space="preserve">Zitiervorschlag: § 16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