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99b MTAPrV — Erforderliche Unterlagen</w:t>
      </w:r>
    </w:p>
    <w:p>
      <w:r>
        <w:rPr>
          <w:color w:val="555555"/>
          <w:sz w:val="18"/>
        </w:rPr>
        <w:t xml:space="preserve">MT-Ausbildungs- und Prüfungsverordnung</w:t>
      </w:r>
    </w:p>
    <w:p>
      <w:r>
        <w:rPr>
          <w:color w:val="555555"/>
          <w:sz w:val="18"/>
        </w:rPr>
        <w:t xml:space="preserve">Stand: 20.12.2023 (konsolidierte Textfassung, kein amtliches Inkrafttretensdatum)</w:t>
      </w:r>
    </w:p>
    <w:p>
      <w:r>
        <w:t xml:space="preserve">(1) Personen, die die Erlaubnis zur partiellen Berufsausübung nach § 53 des MT-Berufe-Gesetzes aufgrund einer außerhalb des Geltungsbereichs des MT-Berufe-Gesetzes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Identitätsnachweis,</w:t>
      </w:r>
    </w:p>
    <w:p>
      <w:pPr>
        <w:ind w:left="420"/>
      </w:pPr>
      <w:r>
        <w:t xml:space="preserve">3. eine Bescheinigung über eine Berufsqualifikation, aus der sich ergibt, dass die Berufsqualifikation erforderlich ist für die Ausübung einer beruflichen Tätigkeit in einem anderen Mitgliedstaat, in einem anderen Vertragsstaat oder in einem gleichgestellten Staat, die im Bereich einer der Berufe nach dem MT-Berufe-Gesetz liegt, sowie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einen Nachweis über die Kenntnisse der deutschen Sprache der antragstellenden Person.</w:t>
      </w:r>
    </w:p>
    <w:p>
      <w:r>
        <w:t xml:space="preserve">(2) Die Unterlagen nach Absatz 1 Nummer 2 bis 4 sind der zuständigen Behörde in Form von Abschriften vorzulegen oder elektronisch zu übermitteln. Von den Unterlagen nach Absatz 1 Nummer 3 und 4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Voraussetzungen nach § 53 Absatz 1 des MT-Berufe-Gesetzes erforderlich ist. Die zuständige Behörde kann sich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Bei Unterlagen, die in einem Mitgliedstaat, einem Vertragsstaat oder einem gleichgestellten Staat ausgestellt oder anerkannt wurden, kann sich die zuständige Behörde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99c.</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in einem Vertragsstaat oder in einem gleichgestellten Staat sowie für Staatsangehörige dieser Staaten ist diese Darlegung entbehrlich, sofern keine besonderen Gründe gegen eine entsprechende Absicht sprechen.</w:t>
      </w:r>
    </w:p>
    <w:p>
      <w:r>
        <w:t xml:space="preserve">(7) Die §§ 96 bis 98 gelten entsprechend.</w:t>
      </w:r>
    </w:p>
    <w:p>
      <w:r>
        <w:rPr>
          <w:color w:val="555555"/>
          <w:sz w:val="17"/>
        </w:rPr>
        <w:t xml:space="preserve">Zitiervorschlag: § 99b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