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MTAPrV — Durchführung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Anpassungslehrgang wird der jeweilige Beruf unter der Verantwortung einer Person, die über die Erlaubnis zum Führen der jeweiligen Berufsbezeichnung verfügt, ausgeübt. Die Berufsausübung wird entsprechend dem Lehrgangsziel begleitet durch</w:t>
      </w:r>
    </w:p>
    <w:p>
      <w:pPr>
        <w:ind w:left="420"/>
      </w:pPr>
      <w:r>
        <w:t xml:space="preserve">1. theoretischen und praktischen Unterricht,</w:t>
      </w:r>
    </w:p>
    <w:p>
      <w:pPr>
        <w:ind w:left="420"/>
      </w:pPr>
      <w:r>
        <w:t xml:space="preserve">2. eine praktische Ausbildung mit theoretischer Unterweisung oder</w:t>
      </w:r>
    </w:p>
    <w:p>
      <w:pPr>
        <w:ind w:left="420"/>
      </w:pPr>
      <w:r>
        <w:t xml:space="preserve">3. theoretischen und praktischen Unterricht und eine praktische Ausbildung mit theoretischer Unterweisung.</w:t>
      </w:r>
    </w:p>
    <w:p>
      <w:r>
        <w:t xml:space="preserve">(2) Der theoretische und praktische Unterricht wird an Einrichtungen nach § 18 des MT-Berufe-Gesetzes oder an von der zuständigen Behörde als vergleichbar anerkannten Einrichtungen durchgeführt.</w:t>
      </w:r>
    </w:p>
    <w:p>
      <w:r>
        <w:t xml:space="preserve">(3) Die praktische Ausbildung wird an Einrichtungen nach § 19 des MT-Berufe-Gesetzes oder an von der zuständigen Behörde als vergleichbar anerkannten Einrichtungen durchgeführt.</w:t>
      </w:r>
    </w:p>
    <w:p>
      <w:r>
        <w:t xml:space="preserve">(4) An der theoretischen Unterweisung sollen praxisanleitende Personen, die die Voraussetzungen des § 8 erfüllen, in angemessenem Umfang beteiligt werden.</w:t>
      </w:r>
    </w:p>
    <w:p>
      <w:r>
        <w:rPr>
          <w:color w:val="555555"/>
          <w:sz w:val="17"/>
        </w:rPr>
        <w:t xml:space="preserve">Zitiervorschlag: § 72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