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MTAPrV — Eignungsprüfung als staatliche Prüfung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Eignungsprüfung wird als staatliche Prüfung durchgeführt.</w:t>
      </w:r>
    </w:p>
    <w:p>
      <w:r>
        <w:t xml:space="preserve">(2) Zur Durchführung der Eignungsprüfung können die Länder die Prüfungsausschüsse der staatlichen Prüfung (§ 12 und § 13) und die Prüfungstermine der staatlichen Prüfung (§ 18) nutzen. Sie haben sicherzustellen, dass die antragstellende Person die Eignungsprüfung innerhalb von sechs Monaten nach der Entscheidung nach § 50 Absatz 2 des MT-Berufe-Gesetzes ablegen kann.</w:t>
      </w:r>
    </w:p>
    <w:p>
      <w:r>
        <w:t xml:space="preserve">(3) Soweit in diesem Unterabschnitt nichts anderes bestimmt ist, gelten für die Eignungsprüfung die §§ 15, 20 bis 24 und 57 entsprechend.</w:t>
      </w:r>
    </w:p>
    <w:p>
      <w:r>
        <w:rPr>
          <w:color w:val="555555"/>
          <w:sz w:val="17"/>
        </w:rPr>
        <w:t xml:space="preserve">Zitiervorschlag: § 64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