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MTAPrV — Bescheide bei Feststellung wesentlicher Unterschiede</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Stellt die Behörde hinsichtlich der Gleichwertigkeit der im Ausland erworbenen Berufsqualifikation wesentliche Unterschiede fest, so erteilt sie der antragstellenden Person einen rechtsmittelfähigen Bescheid.</w:t>
      </w:r>
    </w:p>
    <w:p>
      <w:r>
        <w:t xml:space="preserve">(2) Der Bescheid enthält folgende Angaben:</w:t>
      </w:r>
    </w:p>
    <w:p>
      <w:pPr>
        <w:ind w:left="420"/>
      </w:pPr>
      <w:r>
        <w:t xml:space="preserve">1. das Niveau der in Deutschland verlangten Berufsqualifikation und das Niveau der von der antragstellenden Person vorgelegten Berufsqualifikation gemäß der Klassifizierung in Artikel 11 der Richtlinie 2005/36/EG des Europäischen Parlaments und des Rates vom 7. September 2005 über die Anerkennung von Berufsqualifikationen (ABl. L 255 vom 30.9.2005, S. 22; L 271 vom 16.10.2007, S. 18; L 93 vom 4.4.2008, S. 28; L 33 vom 3.2.2009, S. 49; L 305 vom 24.10.2014, S. 115), die zuletzt durch den Delegierten Beschluss (EU) 2020/548 (ABl. L 131 vom 24.4.2020, S. 1) geändert worden ist, in der jeweils geltenden Fassung,</w:t>
      </w:r>
    </w:p>
    <w:p>
      <w:pPr>
        <w:ind w:left="420"/>
      </w:pPr>
      <w:r>
        <w:t xml:space="preserve">2. die Themenbereiche oder Ausbildungsbestandteile, bei denen wesentliche Unterschiede festgestellt worden sind,</w:t>
      </w:r>
    </w:p>
    <w:p>
      <w:pPr>
        <w:ind w:left="420"/>
      </w:pPr>
      <w:r>
        <w:t xml:space="preserve">3. eine inhaltliche Erläuterung der wesentlichen Unterschiede sowie eine Begründung, warum diese dazu führen, dass die antragstellende Person nicht in ausreichender Form über die Kenntnisse, Fähigkeiten und Kompetenzen verfügt, die in Deutschland erforderlich sind, um den angestrebten Beruf in der medizinischen Technologie auszuüben,</w:t>
      </w:r>
    </w:p>
    <w:p>
      <w:pPr>
        <w:ind w:left="420"/>
      </w:pPr>
      <w:r>
        <w:t xml:space="preserve">4. eine Begründung, warum die antragstellende Person die wesentlichen Unterschiede nicht nach § 48 des MT-Berufe-Gesetzes durch Kenntnisse, Fähigkeiten und Kompetenzen hat ausgleichen können, die sie im Rahmen ihrer nachgewiesenen Berufserfahrung oder durch lebenslanges Lernen erworben hat, und</w:t>
      </w:r>
    </w:p>
    <w:p>
      <w:pPr>
        <w:ind w:left="420"/>
      </w:pPr>
      <w:r>
        <w:t xml:space="preserve">5. die zum Ausgleich der festgestellten wesentlichen Unterschiede erforderlichen Anpassungsmaßnahmen nach Abschnitt 2 oder Abschnitt 3 dieses Teils.</w:t>
      </w:r>
    </w:p>
    <w:p>
      <w:r>
        <w:rPr>
          <w:color w:val="555555"/>
          <w:sz w:val="17"/>
        </w:rPr>
        <w:t xml:space="preserve">Zitiervorschlag: § 62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