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MTAPrV — Durchführung des praktischen Teils</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Prüfungsaufgaben des praktischen Teils werden auf Vorschlag der Schule durch die Fachprüferinnen und Fachprüfer bestimmt. Wenn die Prüfung unter Einbezug einer Patientin oder eines Patienten durchgeführt wird, müssen die betroffene Patientin oder der betroffene Patient oder eine vertretungsberechtigte Person sowie die verantwortliche Ärztin oder der verantwortliche Arzt darin eingewilligt haben. Hiervon bleiben für den praktischen Teil der Prüfung nach § 45 die Anforderungen des § 83 des Strahlenschutzgesetzes vom 27. Juni 2017 (BGBl. I S. 1966), zuletzt geändert durch Artikel 2 des Gesetzes vom 20. Mai 2021 (BGBl. I S. 1194), und des § 145 Absatz 2 Nummer 4 der Strahlenschutzverordnung vom 29. November 2018 (BGBl. I S. 2034, 2036), zuletzt geändert durch Artikel 83 des Gesetzes vom 10. August 2021 (BGBl. I S. 3436), unberührt.</w:t>
      </w:r>
    </w:p>
    <w:p>
      <w:r>
        <w:t xml:space="preserve">(2) Im praktischen Teil ist jede zu prüfende Person einzeln zu prüfen.</w:t>
      </w:r>
    </w:p>
    <w:p>
      <w:r>
        <w:t xml:space="preserve">(3) Der praktische Teil muss von zwei Fachprüferinnen oder Fachprüfern abgenommen werden, von denen mindestens eine Person praktische Fachprüferin oder praktischer Fachprüfer ist.</w:t>
      </w:r>
    </w:p>
    <w:p>
      <w:r>
        <w:t xml:space="preserve">(4) Der praktische Teil soll ohne Vorbereitungsteile einschließlich Fallvorstellungen und Reflexionsgesprächen höchstens 420 Minuten dauern. Der praktische Teil kann aus organisatorischen Gründen unterbrochen werden und soll innerhalb von vier Wochen abgeschlossen werden.</w:t>
      </w:r>
    </w:p>
    <w:p>
      <w:r>
        <w:rPr>
          <w:color w:val="555555"/>
          <w:sz w:val="17"/>
        </w:rPr>
        <w:t xml:space="preserve">Zitiervorschlag: § 48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