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MTAPrV — Inhalt und Ablauf des praktischen Teils der staatlichen Prüfung zur Medizinischen Technologin für Veterinärmedizin oder zum Medizinischen Technologen für Veterinärmedizin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Fall der Ausbildung in der Veterinärmedizin sind Inhalt des praktischen Teils der staatlichen Prüfung Kompetenzen in allen Kompetenzbereichen der Anlage 4.</w:t>
      </w:r>
    </w:p>
    <w:p>
      <w:r>
        <w:t xml:space="preserve">(2) Der praktische Teil besteht aus vier Prüfungsteilen. Gegenstand des praktischen Teils sind:</w:t>
      </w:r>
    </w:p>
    <w:p>
      <w:pPr>
        <w:ind w:left="420"/>
      </w:pPr>
      <w:r>
        <w:t xml:space="preserve">1. im ersten Prüfungsteil drei Prüfungsaufgaben zur polyvalenten veterinärmedizinischen Biopathologie, wovon eine Prüfungsaufgabe durch eine Prüfungsaufgabe zur Molekulargenetik ersetzt werden kann,</w:t>
      </w:r>
    </w:p>
    <w:p>
      <w:pPr>
        <w:ind w:left="420"/>
      </w:pPr>
      <w:r>
        <w:t xml:space="preserve">2. im zweiten Prüfungsteil eine Prüfungsaufgabe zur Infektionsanalytik und Lebensmittelanalytik,</w:t>
      </w:r>
    </w:p>
    <w:p>
      <w:pPr>
        <w:ind w:left="420"/>
      </w:pPr>
      <w:r>
        <w:t xml:space="preserve">3. im dritten Prüfungsteil eine Prüfungsaufgabe zur Histologie und Reproduktionsmedizin mit Spermatologie und</w:t>
      </w:r>
    </w:p>
    <w:p>
      <w:pPr>
        <w:ind w:left="420"/>
      </w:pPr>
      <w:r>
        <w:t xml:space="preserve">4. im vierten Prüfungsteil eine Prüfungsaufgabe zur Steuerung und Überwachung des biomedizinischen Analyseprozesses aus dem Kompetenzbereich II.2 der Anlage 4.</w:t>
      </w:r>
    </w:p>
    <w:p>
      <w:r>
        <w:t xml:space="preserve">Jeweils mindestens eine Prüfungsaufgabe ist unter Verwendung eines manuellen Verfahrens, eines automatisierten Verfahrens und eines digitalen Verfahrens durchzuführen.</w:t>
      </w:r>
    </w:p>
    <w:p>
      <w:r>
        <w:t xml:space="preserve">(3) Jede Prüfungsaufgabe besteht aus:</w:t>
      </w:r>
    </w:p>
    <w:p>
      <w:pPr>
        <w:ind w:left="420"/>
      </w:pPr>
      <w:r>
        <w:t xml:space="preserve">1. einem Vorbereitungsteil,</w:t>
      </w:r>
    </w:p>
    <w:p>
      <w:pPr>
        <w:ind w:left="420"/>
      </w:pPr>
      <w:r>
        <w:t xml:space="preserve">2. der praktischen Durchführung des Untersuchungsvorgangs einschließlich präanalytischer Implikationen und Postanalytik,</w:t>
      </w:r>
    </w:p>
    <w:p>
      <w:pPr>
        <w:ind w:left="420"/>
      </w:pPr>
      <w:r>
        <w:t xml:space="preserve">3. der Anfertigung einer strukturierten Aufzeichnung, die den Untersuchungsvorgang darstellt, und</w:t>
      </w:r>
    </w:p>
    <w:p>
      <w:pPr>
        <w:ind w:left="420"/>
      </w:pPr>
      <w:r>
        <w:t xml:space="preserve">4. einem Reflexionsgespräch.</w:t>
      </w:r>
    </w:p>
    <w:p>
      <w:r>
        <w:t xml:space="preserve">(4) Für den Vorbereitungsteil ist eine angemessene Zeit unter Aufsicht zu gewähren.</w:t>
      </w:r>
    </w:p>
    <w:p>
      <w:r>
        <w:t xml:space="preserve">(5) Die Dauer der Reflexionsgespräche beträgt für alle Prüfungsaufgaben insgesamt höchstens 60 Minuten.</w:t>
      </w:r>
    </w:p>
    <w:p>
      <w:r>
        <w:rPr>
          <w:color w:val="555555"/>
          <w:sz w:val="17"/>
        </w:rPr>
        <w:t xml:space="preserve">Zitiervorschlag: § 47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