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MTAPrV — Note für den schriftlichen Teil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Für jede zu prüfende Person, die den schriftlichen Teil der staatlichen Prüfung bestanden hat, ermittelt die dem Prüfungsausschuss vorsitzende Person jeweils die Note für den schriftlichen Teil der staatlichen Prüfung.</w:t>
      </w:r>
    </w:p>
    <w:p>
      <w:r>
        <w:t xml:space="preserve">(2) In die Note fließt ein:</w:t>
      </w:r>
    </w:p>
    <w:p>
      <w:pPr>
        <w:ind w:left="420"/>
      </w:pPr>
      <w:r>
        <w:t xml:space="preserve">1. der Zahlenwert der Note der ersten Aufsichtsarbeit mit 50 Prozent,</w:t>
      </w:r>
    </w:p>
    <w:p>
      <w:pPr>
        <w:ind w:left="420"/>
      </w:pPr>
      <w:r>
        <w:t xml:space="preserve">2. der Zahlenwert der Note der zweiten Aufsichtsarbeit mit 25 Prozent und</w:t>
      </w:r>
    </w:p>
    <w:p>
      <w:pPr>
        <w:ind w:left="420"/>
      </w:pPr>
      <w:r>
        <w:t xml:space="preserve">3. der Zahlenwert der Vornote für den schriftlichen Teil mit 25 Prozent.</w:t>
      </w:r>
    </w:p>
    <w:p>
      <w:r>
        <w:t xml:space="preserve">Die Berechnung erfolgt auf zwei Stellen nach dem Komma ohne Rundung.</w:t>
      </w:r>
    </w:p>
    <w:p>
      <w:r>
        <w:t xml:space="preserve">(3) Dem berechneten Zahlenwert ist die entsprechende Note nach § 26 zuzuordnen.</w:t>
      </w:r>
    </w:p>
    <w:p>
      <w:r>
        <w:rPr>
          <w:color w:val="555555"/>
          <w:sz w:val="17"/>
        </w:rPr>
        <w:t xml:space="preserve">Zitiervorschlag: § 35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