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MTAPrV — Bestehen des schriftlichen Teils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Eine Aufsichtsarbeit ist bestanden, wenn sie von beiden Fachprüferinnen und Fachprüfern jeweils mit mindestens „ausreichend“ benotet worden ist.</w:t>
      </w:r>
    </w:p>
    <w:p>
      <w:r>
        <w:t xml:space="preserve">(2) Der schriftliche Teil der staatlichen Prüfung ist bestanden, wenn alle Aufsichtsarbeiten bestanden sind.</w:t>
      </w:r>
    </w:p>
    <w:p>
      <w:r>
        <w:rPr>
          <w:color w:val="555555"/>
          <w:sz w:val="17"/>
        </w:rPr>
        <w:t xml:space="preserve">Zitiervorschlag: § 33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