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MTAPrV — Durchführung des schriftlichen Teils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Aufgaben für die Aufsichtsarbeiten werden von der zuständigen Behörde auf Vorschlag der Schule ausgewählt.</w:t>
      </w:r>
    </w:p>
    <w:p>
      <w:r>
        <w:t xml:space="preserve">(2) Die zuständige Behörde kann zentrale Aufgaben für die Aufsichtsarbeiten vorgeben. Die zentralen Aufgaben müssen unter Beteiligung von Schulen erarbeitet worden sein.</w:t>
      </w:r>
    </w:p>
    <w:p>
      <w:r>
        <w:t xml:space="preserve">(3) Die Aufsichtsarbeiten werden unter Aufsicht geschrieben. Die Aufsichtsführenden werden von der Schulleitung bestellt.</w:t>
      </w:r>
    </w:p>
    <w:p>
      <w:r>
        <w:t xml:space="preserve">(4) Die Aufsichtsarbeiten sind in der Regel an zwei Werktagen innerhalb einer Woche durchzuführen.</w:t>
      </w:r>
    </w:p>
    <w:p>
      <w:r>
        <w:rPr>
          <w:color w:val="555555"/>
          <w:sz w:val="17"/>
        </w:rPr>
        <w:t xml:space="preserve">Zitiervorschlag: § 31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