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MTAPrV — Inhalt des schriftlichen Teils der staatlichen Prüfung zur Medizinischen Technologin für Veterinärmedizin oder zum Medizinischen Technologen für Veterinärmedizin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Veterinärmedizin besteht der schriftliche Teil der staatlichen Prüfung aus zwei Aufsichtsarbeiten und erstreckt sich auf Kompetenzen aus folgenden Kompetenzbereichen der Anlage 4:</w:t>
      </w:r>
    </w:p>
    <w:p>
      <w:pPr>
        <w:ind w:left="420"/>
      </w:pPr>
      <w:r>
        <w:t xml:space="preserve">1. Kompetenzbereich I,</w:t>
      </w:r>
    </w:p>
    <w:p>
      <w:pPr>
        <w:ind w:left="420"/>
      </w:pPr>
      <w:r>
        <w:t xml:space="preserve">2. Kompetenzbereich II und</w:t>
      </w:r>
    </w:p>
    <w:p>
      <w:pPr>
        <w:ind w:left="420"/>
      </w:pPr>
      <w:r>
        <w:t xml:space="preserve">3. Kompetenzbereich IV.</w:t>
      </w:r>
    </w:p>
    <w:p>
      <w:r>
        <w:t xml:space="preserve">(2) Die erste Aufsichtsarbeit umfasst 240 Minuten und erstreckt sich schwerpunktmäßig auf Kompetenzen aus dem Kompetenzbereich I der Anlage 4. Dabei können auch Kompetenzen aus dem Kompetenzbereich IV der Anlage 4 Berücksichtigung finden.</w:t>
      </w:r>
    </w:p>
    <w:p>
      <w:r>
        <w:t xml:space="preserve">(3) Die zweite Aufsichtsarbeit umfasst 120 Minuten und erstreckt sich schwerpunktmäßig auf Kompetenzen aus dem Kompetenzbereich II der Anlage 4. Dabei können auch Kompetenzen aus dem Kompetenzbereich IV der Anlage 4 Berücksichtigung finden.</w:t>
      </w:r>
    </w:p>
    <w:p>
      <w:r>
        <w:rPr>
          <w:color w:val="555555"/>
          <w:sz w:val="17"/>
        </w:rPr>
        <w:t xml:space="preserve">Zitiervorschlag: § 30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