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MTAPrV — Inhalt des schriftlichen Teils der staatlichen Prüfung zur Medizinischen Technologin für Radiologie oder zum Medizinischen Technologen für Radiologie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Radiologie besteht der schriftliche Teil der staatlichen Prüfung aus zwei Aufsichtsarbeiten und erstreckt sich auf Kompetenzen aus folgenden Kompetenzbereichen der Anlage 2:</w:t>
      </w:r>
    </w:p>
    <w:p>
      <w:pPr>
        <w:ind w:left="420"/>
      </w:pPr>
      <w:r>
        <w:t xml:space="preserve">1. Kompetenzbereich I,</w:t>
      </w:r>
    </w:p>
    <w:p>
      <w:pPr>
        <w:ind w:left="420"/>
      </w:pPr>
      <w:r>
        <w:t xml:space="preserve">2. Kompetenzbereich II und</w:t>
      </w:r>
    </w:p>
    <w:p>
      <w:pPr>
        <w:ind w:left="420"/>
      </w:pPr>
      <w:r>
        <w:t xml:space="preserve">3. Kompetenzbereich III.</w:t>
      </w:r>
    </w:p>
    <w:p>
      <w:r>
        <w:t xml:space="preserve">(2) Die erste Aufsichtsarbeit umfasst 240 Minuten und erstreckt sich schwerpunktmäßig auf Kompetenzen aus den Kompetenzbereichen I und II der Anlage 2. Gegenstand der ersten Aufsichtsarbeit ist mindestens eine Aufgabe</w:t>
      </w:r>
    </w:p>
    <w:p>
      <w:pPr>
        <w:ind w:left="420"/>
      </w:pPr>
      <w:r>
        <w:t xml:space="preserve">1. aus der radiologischen Diagnostik oder anderer bildgebender Verfahren,</w:t>
      </w:r>
    </w:p>
    <w:p>
      <w:pPr>
        <w:ind w:left="420"/>
      </w:pPr>
      <w:r>
        <w:t xml:space="preserve">2. aus dem Bereich der Strahlentherapie und</w:t>
      </w:r>
    </w:p>
    <w:p>
      <w:pPr>
        <w:ind w:left="420"/>
      </w:pPr>
      <w:r>
        <w:t xml:space="preserve">3. aus dem Bereich der nuklearmedizinischen Diagnostik oder der nuklearmedizinischen Therapie.</w:t>
      </w:r>
    </w:p>
    <w:p>
      <w:r>
        <w:t xml:space="preserve">(3) Die zweite Aufsichtsarbeit umfasst 120 Minuten und erstreckt sich schwerpunktmäßig auf Kompetenzen aus dem Kompetenzbereich III der Anlage 2.</w:t>
      </w:r>
    </w:p>
    <w:p>
      <w:r>
        <w:rPr>
          <w:color w:val="555555"/>
          <w:sz w:val="17"/>
        </w:rPr>
        <w:t xml:space="preserve">Zitiervorschlag: § 28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