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MTAG 1993</w:t>
      </w:r>
    </w:p>
    <w:p>
      <w:r>
        <w:rPr>
          <w:color w:val="555555"/>
          <w:sz w:val="18"/>
        </w:rPr>
        <w:t xml:space="preserve">MTA-Gesetz</w:t>
      </w:r>
    </w:p>
    <w:p>
      <w:r>
        <w:rPr>
          <w:color w:val="555555"/>
          <w:sz w:val="18"/>
        </w:rPr>
        <w:t xml:space="preserve">Historische Fassung: Stand 10.06.2019 bis 01.01.2023. Dies ist nicht die aktuelle Fassung.</w:t>
      </w:r>
    </w:p>
    <w:p>
      <w:r>
        <w:t xml:space="preserve">(1) Die zuständige Behörde kann auf Antrag eine andere Ausbildung im Umfang ihrer Gleichwertigkeit auf die Dauer der Ausbildung anrechnen, wenn die Durchführung der Ausbildung und die Erreichung des Ausbildungsziels dadurch nicht gefährdet werden.</w:t>
      </w:r>
    </w:p>
    <w:p>
      <w:r>
        <w:t xml:space="preserve">(2) Eine nach den Vorschriften dieses Gesetzes abgeschlossene oder begonnene, jedoch nicht abgeschlossene Ausbildung ist auf Antrag auf eine Ausbildung in einem anderen, in § 1 dieses Gesetzes genannten Ausbildungsgang anzurechnen, soweit die Ausbildungsinhalte gleichwertig sind und die Durchführung der Ausbildung sowie die Erreichung des Ausbildungsziels dadurch nicht gefährdet werden.</w:t>
      </w:r>
    </w:p>
    <w:p>
      <w:r>
        <w:rPr>
          <w:color w:val="555555"/>
          <w:sz w:val="17"/>
        </w:rPr>
        <w:t xml:space="preserve">Zitiervorschlag: § 7 MTAG 1993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https://recht.nulegal.eu/gesetze/MTAG%201993/7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MTAG 1993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