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10c MTAG 1993</w:t>
      </w:r>
    </w:p>
    <w:p>
      <w:r>
        <w:rPr>
          <w:color w:val="555555"/>
          <w:sz w:val="18"/>
        </w:rPr>
        <w:t xml:space="preserve">MTA-Gesetz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Medizinisch-technische Laboratoriumsassistentinnen oder Medizinisch-technische Laboratoriumsassistenten, Medizinisch-technische Radiologieassistentinnen oder Medizinisch-technische Radiologieassistenten, Medizinisch-technische Assistentinnen für Funktionsdiagnostik oder Medizinisch-technische Assistenten für Funktionsdiagnostik oder Veterinärmedizinisch-technische Assistentinnen oder Veterinärmedizinisch-technische Assistenten im Sinne des § 10a haben beim Erbringen der Dienstleistung im Geltungsbereich dieses Gesetzes die Rechte und Pflichten von Personen mit einer Erlaubnis nach § 1 Abs. 1. Wird gegen diese Pflichten verstoßen, so hat die zuständige Behörde unverzüglich die zuständige Behörde des Niederlassungsmitgliedstaats dieses Dienstleistungserbringers hierüber zu unterrichten.</w:t>
      </w:r>
    </w:p>
    <w:p>
      <w:r>
        <w:rPr>
          <w:color w:val="555555"/>
          <w:sz w:val="17"/>
        </w:rPr>
        <w:t xml:space="preserve">Zitiervorschlag: § 10c MTAG 1993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https://recht.nulegal.eu/gesetze/MTAG%201993/10c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