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MTA-APrV — Schriftlicher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schriftliche Teil der Prüfung erstreckt sich auf folgende Fächergruppen:</w:t>
      </w:r>
    </w:p>
    <w:p>
      <w:pPr>
        <w:ind w:left="420"/>
      </w:pPr>
      <w:r>
        <w:t xml:space="preserve">1. Statistik; EDV und Dokumentation; Chemie/Biochemie; Anatomie der Tiere; Physiologie der Tiere; Krankheitslehre der Tiere;</w:t>
      </w:r>
    </w:p>
    <w:p>
      <w:pPr>
        <w:ind w:left="420"/>
      </w:pPr>
      <w:r>
        <w:t xml:space="preserve">2. Histologie/Zytologie/Spermatologie; Lebensmittelkunde; Klinische Chemie; Hämatologie; Mikrobiologie.</w:t>
      </w:r>
    </w:p>
    <w:p>
      <w:r>
        <w:t xml:space="preserve">(2) § 12 Abs. 1 Satz 2 bis 5, Abs. 2 und 3 gilt entsprechend.</w:t>
      </w:r>
    </w:p>
    <w:p>
      <w:r>
        <w:rPr>
          <w:color w:val="555555"/>
          <w:sz w:val="17"/>
        </w:rPr>
        <w:t xml:space="preserve">Zitiervorschlag: § 21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