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MTA-APrV — Schriftlicher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schriftliche Teil der Prüfung erstreckt sich auf folgende Fächergruppen:</w:t>
      </w:r>
    </w:p>
    <w:p>
      <w:pPr>
        <w:ind w:left="420"/>
      </w:pPr>
      <w:r>
        <w:t xml:space="preserve">1. Statistik; EDV und Dokumentation; Physik; Anatomie; Physiologie; Spezielle Krankheitslehre;</w:t>
      </w:r>
    </w:p>
    <w:p>
      <w:pPr>
        <w:ind w:left="420"/>
      </w:pPr>
      <w:r>
        <w:t xml:space="preserve">2. Neurophysiologische Funktionsdiagnostik; Audiologische und HNO-Funktionsdiagnostik; Kardiovaskuläre Funktionsdiagnostik; Pneumologische Funktionsdiagnostik.</w:t>
      </w:r>
    </w:p>
    <w:p>
      <w:r>
        <w:t xml:space="preserve">(2) § 12 Abs. 1 Satz 2 bis 5, Abs. 2 und 3 gilt entsprechend.</w:t>
      </w:r>
    </w:p>
    <w:p>
      <w:r>
        <w:rPr>
          <w:color w:val="555555"/>
          <w:sz w:val="17"/>
        </w:rPr>
        <w:t xml:space="preserve">Zitiervorschlag: § 18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