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MStV (Brandenburg) — Diskriminierungsfreiheit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Sicherung der Meinungsvielfalt dürfen Medienintermediäre journalistisch-redaktionell gestaltete Angebote, auf deren Wahrnehmbarkeit sie besonders hohen Einfluss haben, nicht diskriminieren.</w:t>
      </w:r>
    </w:p>
    <w:p>
      <w:r>
        <w:t xml:space="preserve">(2) Eine Diskriminierung im Sinne des Absatzes 1 liegt vor, wenn ohne sachlich gerechtfertigten Grund von den nach § 93 Abs. 1 bis 3 zu veröffentlichenden Kriterien zugunsten oder zulasten eines bestimmten Angebots systematisch abgewichen wird oder diese Kriterien Angebote unmittelbar oder mittelbar unbillig systematisch behindern.</w:t>
      </w:r>
    </w:p>
    <w:p>
      <w:r>
        <w:t xml:space="preserve">(3) Ein Verstoß kann nur von dem betroffenen Anbieter journalistisch-redaktioneller Inhalte bei der zuständigen Landesmedienanstalt geltend gemacht werden. In offensichtlichen Fällen kann der Verstoß von der zuständigen Landesmedienanstalt auch von Amts wegen verfolgt werden.</w:t>
      </w:r>
    </w:p>
    <w:p>
      <w:r>
        <w:rPr>
          <w:color w:val="555555"/>
          <w:sz w:val="17"/>
        </w:rPr>
        <w:t xml:space="preserve">Zitiervorschlag: § 94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https://recht.nulegal.eu/gesetze/MStV/94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