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MStV (Brandenburg) — Anwendungsbereich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nachstehenden Regelungen gelten auch dann, wenn die intermediäre Funktion in die Angebote Dritter eingebunden wird (integrierter Medienintermediär).</w:t>
      </w:r>
    </w:p>
    <w:p>
      <w:r>
        <w:t xml:space="preserve">(2) Mit Ausnahme des § 95 gelten sie nicht für Medienintermediäre, die</w:t>
      </w:r>
    </w:p>
    <w:p>
      <w:r>
        <w:t xml:space="preserve">im Durchschnitt von sechs Monaten in Deutschland weniger als eine Million Nutzer pro Monat erreichen oder in ihrer prognostizierten Entwicklung erreichen werden,</w:t>
      </w:r>
    </w:p>
    <w:p>
      <w:r>
        <w:t xml:space="preserve">auf die Aggregation, Selektion und Präsentation von Inhalten mit Bezug zu Waren oder Dienstleistungen spezialisiert sind oder</w:t>
      </w:r>
    </w:p>
    <w:p>
      <w:r>
        <w:t xml:space="preserve">ausschließlich privaten oder familiären Zwecken dienen.</w:t>
      </w:r>
    </w:p>
    <w:p>
      <w:r>
        <w:rPr>
          <w:color w:val="555555"/>
          <w:sz w:val="17"/>
        </w:rPr>
        <w:t xml:space="preserve">Zitiervorschlag: § 91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