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90 MStV (Brandenburg) — Bestehende Zulassungen, Zuordnungen, Zuweisungen, Anzeige von bestehenden Medienplattformen oder Benutzeroberflächen</w:t>
      </w:r>
    </w:p>
    <w:p>
      <w:r>
        <w:rPr>
          <w:color w:val="555555"/>
          <w:sz w:val="18"/>
        </w:rPr>
        <w:t xml:space="preserve">Medienstaatsvertrag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Bestehende Zulassungen, Zuordnungen und Zuweisungen für bundesweite Anbieter gelten bis zu deren Ablauf fort. Bestehende Zulassungen und Zuweisungen für Fensterprogrammveranstalter sollen bis zum 31. Dezember 2009 unbeschadet von Vorgaben des § 59 Abs. 4 Satz 4 verlängert werden.</w:t>
      </w:r>
    </w:p>
    <w:p>
      <w:r>
        <w:t xml:space="preserve">(2) Anbieter von Medienplattformen und Benutzeroberflächen, die bei Inkrafttreten dieses Staatsvertrages bereits in Betrieb aber nicht angezeigt sind, müssen die Anzeige nach § 79 Abs. 2 spätestens sechs Monate nach Inkrafttreten dieses Staatsvertrages vornehmen.</w:t>
      </w:r>
    </w:p>
    <w:p>
      <w:r>
        <w:rPr>
          <w:color w:val="555555"/>
          <w:sz w:val="17"/>
        </w:rPr>
        <w:t xml:space="preserve">Zitiervorschlag: § 90 MStV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https://recht.nulegal.eu/gesetze/MStV/90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