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85 MStV (Brandenburg) — Transparenz</w:t>
      </w:r>
    </w:p>
    <w:p>
      <w:r>
        <w:rPr>
          <w:color w:val="555555"/>
          <w:sz w:val="18"/>
        </w:rPr>
        <w:t xml:space="preserve">Medienstaatsvertrag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einer Medienplattform oder Benutzeroberfläche zugrunde liegenden Grundsätze für die Auswahl von Rundfunk, rundfunkähnlichen Telemedien und Telemedien nach § 19 Abs. 1 und für ihre Organisation sind vom Anbieter transparent zu machen. Dies umfasst die Kriterien, nach denen Inhalte sortiert, angeordnet und präsentiert werden, wie die Sortierung oder Anordnung von Inhalten durch den Nutzer individualisiert werden kann und nach welchen grundlegenden Kriterien Empfehlungen erfolgen und unter welchen Bedingungen Rundfunk oder rundfunkähnliche Telemedien nach § 80 nicht in ihrer ursprünglichen Form dargestellt werden. Informationen hierzu sind den Nutzern in leicht wahrnehmbarer, unmittelbar erreichbarer und ständig verfügbarer Weise zur Verfügung zu stellen.</w:t>
      </w:r>
    </w:p>
    <w:p>
      <w:r>
        <w:rPr>
          <w:color w:val="555555"/>
          <w:sz w:val="17"/>
        </w:rPr>
        <w:t xml:space="preserve">Zitiervorschlag: § 85 MStV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https://recht.nulegal.eu/gesetze/MStV/85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