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MStV (Brandenburg) — Auffindbarkeit in Benutzeroberflächen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nachstehenden Regelungen gelten, soweit Benutzeroberflächen Rundfunk, rundfunkähnliche Telemedien und Telemedien nach § 19 Abs. 1, Teile davon oder softwarebasierte Anwendungen, die im Wesentlichen der unmittelbaren Ansteuerung von Rundfunk, rundfunkähnlichen Telemedien und Telemedien nach § 19 Abs. 1 dienen, hierzu abbilden oder akustisch vermitteln.</w:t>
      </w:r>
    </w:p>
    <w:p>
      <w:r>
        <w:t xml:space="preserve">(2) Gleichartige Angebote oder Inhalte dürfen bei der Auffindbarkeit, insbesondere der Sortierung, Anordnung oder Präsentation in Benutzeroberflächen, nicht ohne sachlich gerechtfertigten Grund unterschiedlich behandelt werden; die Auffindbarkeit darf nicht unbillig behindert werden. Zulässige Kriterien für eine Sortierung oder Anordnung sind insbesondere Alphabet, Genres oder Nutzungsreichweite. Alle Angebote müssen mittels einer Suchfunktion diskriminierungsfrei auffindbar sein.</w:t>
      </w:r>
    </w:p>
    <w:p>
      <w:r>
        <w:t xml:space="preserve">(3) Der in einer Benutzeroberfläche vermittelte Rundfunk hat in seiner Gesamtheit auf der ersten Auswahlebene unmittelbar erreichbar und leicht auffindbar zu sein. Innerhalb des Rundfunks haben die gesetzlich bestimmten beitragsfinanzierten Programme, die Rundfunkprogramme, die Fensterprogramme (§ 59 Abs. 4) aufzunehmen haben, sowie die privaten Programme, die in besonderem Maß einen Beitrag zur Meinungs- und Angebotsvielfalt im Bundesgebiet leisten, leicht auffindbar zu sein. Werden Rundfunkprogramme abgebildet oder akustisch vermittelt, die Fensterprogramme (§ 59 Abs. 4) aufzunehmen haben, sind in dem Gebiet, für das die Fensterprogramme zugelassen oder gesetzlich bestimmt sind, die Hauptprogramme mit Fensterprogramm gegenüber dem ohne Fensterprogramm ausgestrahlten Hauptprogramm und gegenüber den Fensterprogrammen, die für andere Gebiete zugelassen oder gesetzlich bestimmt sind, vorrangig darzustellen.</w:t>
      </w:r>
    </w:p>
    <w:p>
      <w:r>
        <w:t xml:space="preserve">(4) Die in einer Benutzeroberfläche vermittelten gemeinsamen Telemedienangebote der in der ARD zusammengeschlossenen Landesrundfunkanstalten, die Telemedienangebote des ZDF sowie des Deutschlandradios oder vergleichbare rundfunkähnliche Telemedienangebote oder Angebote nach § 2 Abs. 2 Nr. 14 Buchst. b privater Anbieter, die in besonderem Maß einen Beitrag zur Meinungs- und Angebotsvielfalt im Bundesgebiet leisten, oder softwarebasierte Anwendungen, die ihrer unmittelbaren Ansteuerung dienen, haben im Rahmen der Präsentation rundfunkähnlicher Telemedien oder der softwarebasierten Anwendungen, die ihrer unmittelbaren Ansteuerung dienen, leicht auffindbar zu sein.</w:t>
      </w:r>
    </w:p>
    <w:p>
      <w:r>
        <w:t xml:space="preserve">(5) Die privaten Angebote im Sinne des Absatzes 3 Satz 2 und des Absatzes 4 werden durch die Landesmedienanstalten für die Dauer von jeweils drei Jahren bestimmt und in einer Liste im Onlineauftritt der Landesmedienanstalten veröffentlicht. In die Entscheidung sind folgende Kriterien einzubeziehen:</w:t>
      </w:r>
    </w:p>
    <w:p>
      <w:r>
        <w:t xml:space="preserve">der zeitliche Anteil an nachrichtlicher Berichterstattung über politisches und zeitgeschichtliches Geschehen,</w:t>
      </w:r>
    </w:p>
    <w:p>
      <w:r>
        <w:t xml:space="preserve">der zeitliche Anteil an regionalen und lokalen Informationen,</w:t>
      </w:r>
    </w:p>
    <w:p>
      <w:r>
        <w:t xml:space="preserve">das Verhältnis zwischen eigen‐ und fremdproduzierten Programminhalten,</w:t>
      </w:r>
    </w:p>
    <w:p>
      <w:r>
        <w:t xml:space="preserve">der Anteil an barrierefreien Angeboten,</w:t>
      </w:r>
    </w:p>
    <w:p>
      <w:r>
        <w:t xml:space="preserve">das Verhältnis zwischen ausgebildeten und auszubildenden Mitarbeitern, die an der Programmerstellung beteiligt sind,</w:t>
      </w:r>
    </w:p>
    <w:p>
      <w:r>
        <w:t xml:space="preserve">die Quote europäischer Werke und</w:t>
      </w:r>
    </w:p>
    <w:p>
      <w:r>
        <w:t xml:space="preserve">der Anteil an Angeboten für junge Zielgruppen.</w:t>
      </w:r>
    </w:p>
    <w:p>
      <w:r>
        <w:t xml:space="preserve">Die Landesmedienanstalten bestimmen unverzüglich Beginn und Ende einer Ausschlussfrist, innerhalb derer Anbieter schriftliche Anträge auf Aufnahme in die Liste stellen können. Beginn und Ende der Antragsfrist, das Verfahren und die wesentlichen Anforderungen an die Antragsstellung sind von den Landesmedienanstalten im Rahmen der Ausschreibung festzulegen; die Ausschreibung ist in geeigneter Weise zu veröffentlichen.</w:t>
      </w:r>
    </w:p>
    <w:p>
      <w:r>
        <w:t xml:space="preserve">(6) Die Sortierung oder Anordnung von Angeboten oder Inhalten muss auf einfache Weise und dauerhaft durch den Nutzer individualisiert werden können.</w:t>
      </w:r>
    </w:p>
    <w:p>
      <w:r>
        <w:t xml:space="preserve">(7) Absatz 2 Satz 3 sowie die Absätze 3, 4 und 6 gelten für Benutzeroberflächen nicht, soweit der Anbieter nachweist, dass eine auch nachträgliche Umsetzung technisch nicht oder nur mit unverhältnismäßigem Aufwand möglich ist.</w:t>
      </w:r>
    </w:p>
    <w:p>
      <w:r>
        <w:t xml:space="preserve">(8) Die Einzelheiten der Absätze 2 bis 7 regeln die Landesmedienanstalten durch gemeinsame Satzungen und Richtlinien.</w:t>
      </w:r>
    </w:p>
    <w:p>
      <w:r>
        <w:rPr>
          <w:color w:val="555555"/>
          <w:sz w:val="17"/>
        </w:rPr>
        <w:t xml:space="preserve">Zitiervorschlag: § 84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