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MStV (Brandenburg) — Zugangsbedingungen zu Medienplattformen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Zugangsbedingungen, insbesondere Entgelte und Tarife, sind gegenüber der zuständigen Landesmedienanstalt offenzulegen.</w:t>
      </w:r>
    </w:p>
    <w:p>
      <w:r>
        <w:t xml:space="preserve">(2) Entgelte und Tarife sind im Rahmen des Telekommunikationsgesetzes so zu gestalten, dass auch regionale und lokale Angebote zu angemessenen Bedingungen verbreitet werden können. Die landesrechtlichen Sondervorschriften für Offene Kanäle und vergleichbare Angebote bleiben unberührt.</w:t>
      </w:r>
    </w:p>
    <w:p>
      <w:r>
        <w:t xml:space="preserve">(3) Können sich die betroffenen Anbieter nicht über die Aufnahme eines Angebots in eine Medienplattform oder die Bedingungen der Aufnahme einigen, kann jeder der Beteiligten die zuständige Landesmedienanstalt anrufen. Die zuständige Landesmedienanstalt wirkt unter den Beteiligten auf eine sachgerechte Lösung hin.</w:t>
      </w:r>
    </w:p>
    <w:p>
      <w:r>
        <w:rPr>
          <w:color w:val="555555"/>
          <w:sz w:val="17"/>
        </w:rPr>
        <w:t xml:space="preserve">Zitiervorschlag: § 83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