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MStV (Brandenburg) — Zugang zu Medienplattformen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Anbieter von Medienplattformen haben zu gewährleisten, dass die eingesetzte Technik ein vielfältiges Angebot ermöglicht.</w:t>
      </w:r>
    </w:p>
    <w:p>
      <w:r>
        <w:t xml:space="preserve">(2) Zur Sicherung der Meinungsvielfalt und Angebotsvielfalt dürfen Rundfunk, rundfunkähnliche Telemedien und Telemedien nach § 19 Abs. 1 beim Zugang zu Medienplattformen nicht unmittelbar oder mittelbar unbillig behindert und gegenüber gleichartigen Angeboten nicht ohne sachlich gerechtfertigten Grund unterschiedlich behandelt werden; dies gilt insbesondere in Bezug auf</w:t>
      </w:r>
    </w:p>
    <w:p>
      <w:r>
        <w:t xml:space="preserve">Zugangsberechtigungssysteme,</w:t>
      </w:r>
    </w:p>
    <w:p>
      <w:r>
        <w:t xml:space="preserve">Schnittstellen für Anwendungsprogramme,</w:t>
      </w:r>
    </w:p>
    <w:p>
      <w:r>
        <w:t xml:space="preserve">sonstige technische Vorgaben zu den Nummern 1 und 2 auch gegenüber Herstellern digitaler Rundfunkempfangsgeräte,</w:t>
      </w:r>
    </w:p>
    <w:p>
      <w:r>
        <w:t xml:space="preserve">die Ausgestaltung von Zugangsbedingungen, insbesondere Entgelte und Tarife.</w:t>
      </w:r>
    </w:p>
    <w:p>
      <w:r>
        <w:t xml:space="preserve">(3) Die Verwendung eines Zugangsberechtigungssystems oder einer Schnittstelle für Anwendungsprogramme und die Entgelte hierfür sind der zuständigen Landesmedienanstalt unverzüglich anzuzeigen. Satz 1 gilt für Änderungen entsprechend. Der zuständigen Landesmedienanstalt sind auf Verlangen die erforderlichen Auskünfte zu erteilen.</w:t>
      </w:r>
    </w:p>
    <w:p>
      <w:r>
        <w:rPr>
          <w:color w:val="555555"/>
          <w:sz w:val="17"/>
        </w:rPr>
        <w:t xml:space="preserve">Zitiervorschlag: § 82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