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MStV (Brandenburg) — Signalintegrität, Überlagerungen und Skalierungen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Ohne Einwilligung des jeweiligen Rundfunkveranstalters oder Anbieters rundfunkähnlicher Telemedien dürfen dessen Rundfunkprogramme, einschließlich des HbbTV-Signals, rundfunkähnliche Telemedien oder Teile davon</w:t>
      </w:r>
    </w:p>
    <w:p>
      <w:r>
        <w:t xml:space="preserve">inhaltlich und technisch nicht verändert,</w:t>
      </w:r>
    </w:p>
    <w:p>
      <w:r>
        <w:t xml:space="preserve">im Zuge ihrer Abbildung oder akustischen Wiedergabe nicht vollständig oder teilweise mit Werbung, Inhalten aus Rundfunkprogrammen oder rundfunkähnlichen Telemedien, einschließlich Empfehlungen oder Hinweisen hierauf, überlagert oder ihre Abbildung zu diesem Zweck skaliert oder</w:t>
      </w:r>
    </w:p>
    <w:p>
      <w:r>
        <w:t xml:space="preserve">nicht in Angebotspakete aufgenommen oder in anderer Weise entgeltlich oder unentgeltlich vermarktet oder öffentlich zugänglich gemacht</w:t>
      </w:r>
    </w:p>
    <w:p>
      <w:r>
        <w:t xml:space="preserve">werden.</w:t>
      </w:r>
    </w:p>
    <w:p>
      <w:r>
        <w:t xml:space="preserve">(2) Abweichend von Absatz 1 Nr. 1 sind technische Veränderungen, die ausschließlich einer effizienten Kapazitätsnutzung dienen und die Einhaltung des vereinbarten oder, im Fall, dass keine Vereinbarung getroffen wurde, marktüblichen Qualitätsstandards nicht beeinträchtigen, zulässig. Abweichend von Absatz 1 Nr. 2 sind Überlagerungen oder Skalierungen zulässig zum Zweck der Inanspruchnahme von Diensten der Individualkommunikation oder wenn sie durch den Nutzer im Einzelfall veranlasst sind. Satz 2 gilt nicht für Überlagerung oder Skalierungen zum Zweck der Werbung, es sei denn, es handelt sich um Empfehlungen oder Hinweise auf Inhalte von Rundfunkprogrammen oder rundfunkähnliche Telemedien.</w:t>
      </w:r>
    </w:p>
    <w:p>
      <w:r>
        <w:t xml:space="preserve">(3) Bei einer Überlagerung oder Skalierung zum Zweck der Werbung finden außer in den Fällen des Absatzes 2 Satz 2 die für das überlagerte oder skalierte Angebot geltenden Beschränkungen entsprechende Anwendung.</w:t>
      </w:r>
    </w:p>
    <w:p>
      <w:r>
        <w:rPr>
          <w:color w:val="555555"/>
          <w:sz w:val="17"/>
        </w:rPr>
        <w:t xml:space="preserve">Zitiervorschlag: § 80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