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MStV (Brandenburg) — Allgemeine Bestimmungen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infrastrukturgebundene Medienplattform darf nur betreiben, wer den Anforderungen des § 53 Abs. 1 und 2 Satz 1 genügt. Im Übrigen hat ein Anbieter einer Medienplattform oder ein Anbieter einer Benutzeroberfläche oder ein von diesem jeweils benannter Bevollmächtigter die Anforderungen des § 53 Abs. 1 und 2 Satz 1 zu erfüllen.</w:t>
      </w:r>
    </w:p>
    <w:p>
      <w:r>
        <w:t xml:space="preserve">(2) Anbieter, die eine Medienplattform oder Benutzeroberfläche anbieten wollen, müssen dies mindestens einen Monat vor Inbetriebnahme der zuständigen Landesmedienanstalt anzeigen. Die Anzeige hat zu enthalten:</w:t>
      </w:r>
    </w:p>
    <w:p>
      <w:r>
        <w:t xml:space="preserve">Angaben nach Absatz 1,</w:t>
      </w:r>
    </w:p>
    <w:p>
      <w:r>
        <w:t xml:space="preserve">Angaben zur technischen und voraussichtlichen Nutzungsreichweite.</w:t>
      </w:r>
    </w:p>
    <w:p>
      <w:r>
        <w:t xml:space="preserve">Bei wesentlichen Änderungen gelten die Sätze 1 und 2 entsprechend.</w:t>
      </w:r>
    </w:p>
    <w:p>
      <w:r>
        <w:t xml:space="preserve">(3) Für die Angebote in Medienplattformen und Benutzeroberflächen gilt die verfassungsmäßige Ordnung. Die Vorschriften der allgemeinen Gesetze und die gesetzlichen Bestimmungen zum Schutz der persönlichen Ehre sind einzuhalten.</w:t>
      </w:r>
    </w:p>
    <w:p>
      <w:r>
        <w:t xml:space="preserve">(4) Anbieter von Medienplattformen und Benutzeroberflächen sind für eigene Angebote verantwortlich. Bei Verfügungen der Aufsichtsbehörden gegen Angebote oder Inhalte Dritter, die über die Medienplattform verbreitet werden oder in Benutzeroberflächen enthalten sind, sind diese zur Umsetzung dieser Verfügung verpflichtet. Sind Maßnahmen gegenüber dem Verantwortlichen von Angeboten oder Inhalten nach Satz 2 nicht durchführbar oder nicht Erfolg versprechend, können Maßnahmen zur Verhinderung des Zugangs von Angeboten oder Inhalten auch gegen den Anbieter der Medienplattform oder Benutzeroberfläche gerichtet werden, sofern eine Verhinderung technisch möglich und zumutbar ist.</w:t>
      </w:r>
    </w:p>
    <w:p>
      <w:r>
        <w:rPr>
          <w:color w:val="555555"/>
          <w:sz w:val="17"/>
        </w:rPr>
        <w:t xml:space="preserve">Zitiervorschlag: § 79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