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MStV (Brandenburg) — Anwendungsbereich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nachstehenden Regelungen gelten für alle Medienplattformen und Benutzeroberflächen. Mit Ausnahme der §§ 79, 80, 86 Abs. 1 und § 109 gelten sie nicht für</w:t>
      </w:r>
    </w:p>
    <w:p>
      <w:r>
        <w:t xml:space="preserve">infrastrukturgebundene Medienplattformen mit in der Regel weniger als 10.000 angeschlossenen Wohneinheiten und deren Benutzeroberflächen oder</w:t>
      </w:r>
    </w:p>
    <w:p>
      <w:r>
        <w:t xml:space="preserve">nicht infrastrukturgebundene Medienplattformen und Benutzeroberflächen, die keine Benutzeroberflächen von Medienplattformen nach Nummer 1 sind, mit in der Regel weniger als 20.000 tatsächlichen täglichen Nutzern im Monatsdurchschnitt.</w:t>
      </w:r>
    </w:p>
    <w:p>
      <w:r>
        <w:t xml:space="preserve">Die Landesmedienanstalten legen in den Satzungen und Richtlinien nach § 88 unter Berücksichtigung der regionalen und lokalen Verhältnisse Kriterien für die Ermittlung der Schwellenwerte fest.</w:t>
      </w:r>
    </w:p>
    <w:p>
      <w:r>
        <w:rPr>
          <w:color w:val="555555"/>
          <w:sz w:val="17"/>
        </w:rPr>
        <w:t xml:space="preserve">Zitiervorschlag: § 78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https://recht.nulegal.eu/gesetze/MStV/78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