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MStV (Brandenburg) — Barrierefreiheit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fernsehähnliche Telemedien gilt § 7 entsprechend.</w:t>
      </w:r>
    </w:p>
    <w:p>
      <w:r>
        <w:rPr>
          <w:color w:val="555555"/>
          <w:sz w:val="17"/>
        </w:rPr>
        <w:t xml:space="preserve">Zitiervorschlag: § 76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https://recht.nulegal.eu/gesetze/MStV/76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