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75 MStV (Brandenburg) — Kurzberichterstattung</w:t>
      </w:r>
    </w:p>
    <w:p>
      <w:r>
        <w:rPr>
          <w:color w:val="555555"/>
          <w:sz w:val="18"/>
        </w:rPr>
        <w:t xml:space="preserve">Medienstaatsvertrag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Für fernsehähnliche Telemedien gilt § 14 entsprechend, wenn die gleiche Sendung von demselben Fernsehveranstalter zeitversetzt angeboten wird.</w:t>
      </w:r>
    </w:p>
    <w:p>
      <w:r>
        <w:rPr>
          <w:color w:val="555555"/>
          <w:sz w:val="17"/>
        </w:rPr>
        <w:t xml:space="preserve">Zitiervorschlag: § 75 MStV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https://recht.nulegal.eu/gesetze/MStV/75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