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MStV (Brandenburg) — Ausnahmen für regionale und lokale Fernsehprogramme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regionale und lokale Fernsehprogramme können von § 8 Absatz 4 Satz 2, § 9 Absatz 3 und § 70 Absatz 1 nach Landesrecht abweichende Regelungen getroffen werden.</w:t>
      </w:r>
    </w:p>
    <w:p>
      <w:r>
        <w:t xml:space="preserve">V. Abschnitt</w:t>
      </w:r>
    </w:p>
    <w:p>
      <w:r>
        <w:t xml:space="preserve">Besondere Bestimmungen für einzelne Telemedien</w:t>
      </w:r>
    </w:p>
    <w:p>
      <w:r>
        <w:rPr>
          <w:color w:val="555555"/>
          <w:sz w:val="17"/>
        </w:rPr>
        <w:t xml:space="preserve">Zitiervorschlag: § 73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https://recht.nulegal.eu/gesetze/MStV/73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