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MStV (Brandenburg) — Barrierefreiheit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Veranstalter nach § 3 Satz 1 sollen über ihr bereits bestehendes Engagement hinaus im Rahmen der technischen und ihrer finanziellen Möglichkeiten barrierefreie Angebote aufnehmen und den Umfang solcher Angebote stetig und schrittweise ausweiten, wobei den Belangen von Menschen mit unterschiedlichen Behinderungen Rechnung zu tragen ist.</w:t>
      </w:r>
    </w:p>
    <w:p>
      <w:r>
        <w:t xml:space="preserve">(2) Die Veranstalter bundesweit ausgerichteter privater Fernsehprogramme erstatten der jeweils zuständigen Landesmedienanstalt, die in der ARD zusammengeschlossenen Landesrundfunkanstalten, das ZDF sowie das Deutschlandradio ihren jeweiligen Aufsichtsgremien mindestens alle drei Jahre gemäß Artikel 7 Abs. 2 der Richtlinie 2010/13/EU Bericht über die getroffenen und zukünftigen Maßnahmen nach Absatz 1, die Verbindlichkeit der geplanten Maßnahmen und die dabei erzielten Fortschritte (Aktionspläne). Die Berichte werden anschließend der Europäischen Kommission übermittelt.</w:t>
      </w:r>
    </w:p>
    <w:p>
      <w:r>
        <w:t xml:space="preserve">(3) Verlautbarungen, die entsprechend den landesrechtlichen Bestimmungen über das Verlautbarungsrecht verbreitet werden, sind den Umständen der Verlautbarung entsprechend barrierefrei zu gestalten. Landesrechtliche Regelungen bleiben unberührt.</w:t>
      </w:r>
    </w:p>
    <w:p>
      <w:r>
        <w:rPr>
          <w:color w:val="555555"/>
          <w:sz w:val="17"/>
        </w:rPr>
        <w:t xml:space="preserve">Zitiervorschlag: § 7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