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MStV (Brandenburg) — Sendezeit für unabhängige Dritte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Fensterprogramm, das aufgrund der Verpflichtung zur Einräumung von Sendezeit nach den vorstehenden Bestimmungen ausgestrahlt wird, muss unter Wahrung der Programmautonomie des Hauptveranstalters einen zusätzlichen Beitrag zur Vielfalt in dessen Programm, insbesondere in den Bereichen Kultur, Bildung und Information, leisten. Die Gestaltung des Fensterprogramms hat in redaktioneller Unabhängigkeit vom Hauptprogramm zu erfolgen.</w:t>
      </w:r>
    </w:p>
    <w:p>
      <w:r>
        <w:t xml:space="preserve">(2) Die Dauer des Fensterprogramms muss wöchentlich mindestens 260 Minuten, davon mindestens 75 Minuten in der Sendezeit von 19.00 Uhr bis 23.30 Uhr betragen. Auf die wöchentliche Sendezeit werden Regionalfensterprogramme bis höchstens 150 Minuten pro Woche mit höchstens 80 Minuten pro Woche auf die Drittsendezeit außerhalb der in Satz 1 genannten Sendezeit angerechnet; bei einer geringeren wöchentlichen Sendezeit für das Regionalfenster vermindert sich die anrechenbare Sendezeit von 80 Minuten entsprechend. Die Anrechnung ist nur zulässig, wenn die Regionalfensterprogramme in redaktioneller Unabhängigkeit veranstaltet werden und insgesamt bundesweit mindestens 50 vom Hundert der Fernsehhaushalte erreichen. Eine Unterschreitung dieser Reichweite ist im Zuge der Digitalisierung der Übertragungswege zulässig.</w:t>
      </w:r>
    </w:p>
    <w:p>
      <w:r>
        <w:t xml:space="preserve">(3) Der Fensterprogrammanbieter nach Absatz 1 darf nicht in einem rechtlichen Abhängigkeitsverhältnis zum Hauptprogrammveranstalter stehen. Rechtliche Abhängigkeit im Sinne von Satz 1 liegt vor, wenn das Hauptprogramm und das Fensterprogramm nach § 62 demselben Unternehmen zugerechnet werden können.</w:t>
      </w:r>
    </w:p>
    <w:p>
      <w:r>
        <w:t xml:space="preserve">(4) Ist ein Hauptprogrammveranstalter zur Einräumung von Sendezeit für unabhängige Dritte verpflichtet, schreibt die zuständige Landesmedienanstalt nach Erörterung mit dem Hauptprogrammveranstalter das Fensterprogramm zur Erteilung einer Zulassung aus. Die zuständige Landesmedienanstalt überprüft die eingehenden Anträge auf ihre Vereinbarkeit mit den Bestimmungen dieses Staatsvertrages sowie der sonstigen landesrechtlichen Bestimmungen und teilt dem Hauptprogrammveranstalter die zulassungsfähigen Anträge mit. Sie erörtert mit dem Hauptprogrammveranstalter die Anträge mit dem Ziel, eine einvernehmliche Auswahl zu treffen. Kommt eine Einigung nicht zustande und liegen der zuständigen Landesmedienanstalt mehr als drei zulassungsfähige Anträge vor, unterbreitet der Hauptprogrammveranstalter der zuständigen Landesmedienanstalt einen Dreiervorschlag. Die zuständige Landesmedienanstalt kann unter Vielfaltsgesichtspunkten bis zu zwei weitere Vorschläge hinzufügen, die sie erneut mit dem Hauptprogrammveranstalter mit dem Ziel, eine einvernehmliche Auswahl zu treffen, erörtert. Kommt eine Einigung nicht zustande, wählt sie aus den Vorschlägen denjenigen Bewerber aus, dessen Programm den größtmöglichen Beitrag zur Vielfalt im Programm des Hauptprogrammveranstalters erwarten lässt und erteilt ihm die Zulassung. Bei drei oder weniger Anträgen trifft die zuständige Landesmedienanstalt die Entscheidung unmittelbar.</w:t>
      </w:r>
    </w:p>
    <w:p>
      <w:r>
        <w:t xml:space="preserve">(5) Ist ein Bewerber für das Fensterprogramm nach Absatz 4 ausgewählt, schließen der Hauptprogrammveranstalter und der Bewerber eine Vereinbarung über die Ausstrahlung des Fensterprogramms im Rahmen des Hauptprogramms. In diese Vereinbarung ist insbesondere die Verpflichtung des Hauptprogrammveranstalters aufzunehmen, dem Fensterprogrammveranstalter eine ausreichende Finanzierung seines Programms zu ermöglichen. Die Vereinbarung muss ferner vorsehen, dass eine Kündigung während der Dauer der Zulassung nach Absatz 6 nur wegen schwerwiegender Vertragsverletzungen oder aus einem wichtigen Grund mit einer Frist von sechs Monaten zulässig ist.</w:t>
      </w:r>
    </w:p>
    <w:p>
      <w:r>
        <w:t xml:space="preserve">(6) Auf der Grundlage einer Vereinbarung zu angemessenen Bedingungen nach Absatz 5 ist dem Fensterprogrammveranstalter durch die zuständige Landesmedienanstalt die Zulassung zur Veranstaltung des Fensterprogramms zu erteilen. In die Zulassung des Haupt- und des Fensterprogrammveranstalters sind die wesentlichen Verpflichtungen aus der Vereinbarung nach Absatz 5 als Bestandteil der Zulassungen aufzunehmen. Eine Entschädigung für Vermögensnachteile durch den teilweisen Widerruf der Zulassung des Hauptprogrammveranstalters wird nicht gewährt. Die Zulassung für den Fensterprogrammveranstalter ist auf die Dauer von fünf Jahren zu erteilen; sie erlischt, wenn die Zulassung des Hauptprogrammveranstalters endet, nicht verlängert oder nicht neu erteilt wird.</w:t>
      </w:r>
    </w:p>
    <w:p>
      <w:r>
        <w:rPr>
          <w:color w:val="555555"/>
          <w:sz w:val="17"/>
        </w:rPr>
        <w:t xml:space="preserve">Zitiervorschlag: § 65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