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MStV (Brandenburg) — Vielfaltssichernde Maßnahmen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Stellen die vorgenannten Vorschriften auf vielfaltssichernde Maßnahmen bei einem Veranstalter oder Unternehmen ab, gelten als solche Maßnahmen:</w:t>
      </w:r>
    </w:p>
    <w:p>
      <w:r>
        <w:t xml:space="preserve">die Einräumung von Sendezeit für unabhängige Dritte (§ 65),</w:t>
      </w:r>
    </w:p>
    <w:p>
      <w:r>
        <w:t xml:space="preserve">die Einrichtung eines Programmbeirats (§ 66).</w:t>
      </w:r>
    </w:p>
    <w:p>
      <w:r>
        <w:rPr>
          <w:color w:val="555555"/>
          <w:sz w:val="17"/>
        </w:rPr>
        <w:t xml:space="preserve">Zitiervorschlag: § 64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https://recht.nulegal.eu/gesetze/MStV/64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