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MStV (Brandenburg) — Sorgfaltspflichten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Berichterstattung und Informationssendungen haben den anerkannten journalistischen Grundsätzen, auch beim Einsatz virtueller Elemente, zu entsprechen. Sie müssen unabhängig und sachlich sein. Nachrichten sind vor ihrer Verbreitung mit der nach den Umständen gebotenen Sorgfalt auf Wahrheit und Herkunft zu prüfen. Kommentare sind von der Berichterstattung deutlich zu trennen und unter Nennung des Verfassers als solche zu kennzeichnen.</w:t>
      </w:r>
    </w:p>
    <w:p>
      <w:r>
        <w:t xml:space="preserve">(2) Bei der Wiedergabe von Meinungsumfragen, die von Rundfunkveranstaltern durchgeführt werden, ist ausdrücklich anzugeben, ob sie repräsentativ sind.</w:t>
      </w:r>
    </w:p>
    <w:p>
      <w:r>
        <w:rPr>
          <w:color w:val="555555"/>
          <w:sz w:val="17"/>
        </w:rPr>
        <w:t xml:space="preserve">Zitiervorschlag: § 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