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MStV (Brandenburg) — Publizitätspflicht und sonstige Vorlagepflichten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Veranstalter hat unabhängig von seiner Rechtsform jährlich nach Maßgabe der Vorschriften des Handelsgesetzbuches, die für große Kapitalgesellschaften gelten, einen Jahresabschluss samt Anhang und einen Lagebericht spätestens bis zum Ende des neunten auf das Ende des Geschäftsjahres folgenden Monats zu erstellen und bekannt zu machen. Satz 1 findet auf an dem Veranstalter unmittelbar Beteiligte, denen das Programm des Veranstalters nach § 62 Abs. 1 Satz 1, und mittelbar Beteiligte, denen das Programm nach § 62 Abs. 1 Satz 2 zuzurechnen ist, entsprechende Anwendung.</w:t>
      </w:r>
    </w:p>
    <w:p>
      <w:r>
        <w:t xml:space="preserve">(2) Innerhalb derselben Frist hat der Veranstalter eine Aufstellung der Programmbezugsquellen für den Berichtszeitraum der zuständigen Landesmedienanstalt vorzulegen.</w:t>
      </w:r>
    </w:p>
    <w:p>
      <w:r>
        <w:rPr>
          <w:color w:val="555555"/>
          <w:sz w:val="17"/>
        </w:rPr>
        <w:t xml:space="preserve">Zitiervorschlag: § 57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