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MStV (Brandenburg) — Zulassungsfreie Rundfunkprogramme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Keiner Zulassung bedürfen Rundfunkprogramme,</w:t>
      </w:r>
    </w:p>
    <w:p>
      <w:r>
        <w:t xml:space="preserve">die nur geringe Bedeutung für die individuelle und öffentliche Meinungsbildung entfalten, oder</w:t>
      </w:r>
    </w:p>
    <w:p>
      <w:r>
        <w:t xml:space="preserve">die im Durchschnitt von sechs Monaten weniger als 20.000 gleichzeitige Nutzer erreichen oder in ihrer prognostizierten Entwicklung erreichen werden.</w:t>
      </w:r>
    </w:p>
    <w:p>
      <w:r>
        <w:t xml:space="preserve">Die zuständige Landesmedienanstalt bestätigt die Zulassungsfreiheit auf Antrag durch Unbedenklichkeitsbescheinigung.</w:t>
      </w:r>
    </w:p>
    <w:p>
      <w:r>
        <w:t xml:space="preserve">(2) Die Landesmedienanstalten regeln das Nähere zur Konkretisierung der Zulassungsfreiheit nach Absatz 1 durch Satzung.</w:t>
      </w:r>
    </w:p>
    <w:p>
      <w:r>
        <w:t xml:space="preserve">(3) Vor dem Inkrafttreten dieses Staatsvertrages angezeigte, ausschließlich im Internet verbreitete Hörfunkprogramme gelten als zugelassene Programme nach § 52.</w:t>
      </w:r>
    </w:p>
    <w:p>
      <w:r>
        <w:t xml:space="preserve">(4) Auf zulassungsfreie Rundfunkprogramme finden die Vorschriften der §§ 15, 57 und 68 keine Anwendung. § 53 findet mit Ausnahme seines Absatzes 1 Nr. 1 entsprechende Anwendung. Die zuständige Landesmedienanstalt kann von Veranstaltern von Rundfunkprogrammen im Sinne des Absatzes 1 die in den §§ 55 und 56 genannten Informationen und Unterlagen verlangen.</w:t>
      </w:r>
    </w:p>
    <w:p>
      <w:r>
        <w:rPr>
          <w:color w:val="555555"/>
          <w:sz w:val="17"/>
        </w:rPr>
        <w:t xml:space="preserve">Zitiervorschlag: § 54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https://recht.nulegal.eu/gesetze/MStV/54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