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MStV (Brandenburg) — Grundsatz</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Private Veranstalter bedürfen zur Veranstaltung von Rundfunkprogrammen einer Zulassung. § 54 sowie entsprechende Bestimmungen des Landesrechts für nicht bundesweit ausgerichtete Rundfunkprogramme bleiben unberührt. Die Zulassung eines Veranstalters nicht bundesweit ausgerichteten Rundfunks richtet sich nach Landesrecht. Für die Zulassung eines Veranstalters bundesweit ausgerichteten Rundfunks gelten die Vorschriften dieses Unterabschnitts; im Übrigen gilt Landesrecht.</w:t>
      </w:r>
    </w:p>
    <w:p>
      <w:r>
        <w:t xml:space="preserve">(2) Die Zulassung eines Fernsehveranstalters kann versagt oder widerrufen werden, wenn</w:t>
      </w:r>
    </w:p>
    <w:p>
      <w:r>
        <w:t xml:space="preserve">sich das Programm des Veranstalters ganz oder in wesentlichen Teilen an die Bevölkerung eines anderen Staates richtet, der das Europäische Übereinkommen über das grenzüberschreitende Fernsehen ratifiziert hat und</w:t>
      </w:r>
    </w:p>
    <w:p>
      <w:r>
        <w:t xml:space="preserve">der Veranstalter sich zu dem Zweck in Deutschland niedergelassen hat, die Bestimmungen des anderen Staates zu umgehen und</w:t>
      </w:r>
    </w:p>
    <w:p>
      <w:r>
        <w:t xml:space="preserve">die Bestimmungen des anderen Staates, die der Veranstalter zu umgehen bezweckt, Gegenstand des Europäischen Übereinkommens über das grenzüberschreitende Fernsehen sind.</w:t>
      </w:r>
    </w:p>
    <w:p>
      <w:r>
        <w:t xml:space="preserve">Statt der Versagung oder des Widerrufs der Zulassung kann diese auch mit Nebenbestimmungen versehen werden, soweit dies ausreicht, die Umgehung nach Satz 1 auszuschließen.</w:t>
      </w:r>
    </w:p>
    <w:p>
      <w:r>
        <w:rPr>
          <w:color w:val="555555"/>
          <w:sz w:val="17"/>
        </w:rPr>
        <w:t xml:space="preserve">Zitiervorschlag: § 52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