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MStV (Brandenburg) — Programmgrundsätze</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Rundfunkprogramme gilt die verfassungsmäßige Ordnung. Die Rundfunkprogramme haben die Würde des Menschen sowie die sittlichen, religiösen und weltanschaulichen Überzeugungen anderer zu achten. Sie sollen die Zusammengehörigkeit im vereinten Deutschland sowie die internationale Verständigung fördern und auf ein diskriminierungsfreies Miteinander hinwirken. Die Vorschriften der allgemeinen Gesetze und die gesetzlichen Bestimmungen zum Schutz der persönlichen Ehre sind einzuhalten.</w:t>
      </w:r>
    </w:p>
    <w:p>
      <w:r>
        <w:t xml:space="preserve">(2) Die Rundfunkvollprogramme sollen zur Darstellung der Vielfalt im deutschsprachigen und europäischen Raum mit einem angemessenen Anteil an Information, Kultur und Bildung beitragen; die Möglichkeit, Spartenprogramme anzubieten, bleibt hiervon unberührt.</w:t>
      </w:r>
    </w:p>
    <w:p>
      <w:r>
        <w:rPr>
          <w:color w:val="555555"/>
          <w:sz w:val="17"/>
        </w:rPr>
        <w:t xml:space="preserve">Zitiervorschlag: § 51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https://recht.nulegal.eu/gesetze/MStV/51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