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MStV (Brandenburg) — Informationspflichten, Verbraucherschutz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Rundfunkveranstalter haben folgende Informationen im Rahmen ihres Gesamtangebots leicht, unmittelbar und ständig zugänglich zu machen:</w:t>
      </w:r>
    </w:p>
    <w:p>
      <w:r>
        <w:t xml:space="preserve">Name und geografische Anschrift,</w:t>
      </w:r>
    </w:p>
    <w:p>
      <w:r>
        <w:t xml:space="preserve">Angaben, die eine schnelle und unmittelbare Kontaktaufnahme und eine effiziente Kommunikation ermöglichen, einschließlich ihrer E-Mail-Adresse oder ihrer Webseite,</w:t>
      </w:r>
    </w:p>
    <w:p>
      <w:r>
        <w:t xml:space="preserve">die zuständige Aufsicht und</w:t>
      </w:r>
    </w:p>
    <w:p>
      <w:r>
        <w:t xml:space="preserve">den Mitgliedstaat, deren Rechtshoheit sie unterworfen sind.</w:t>
      </w:r>
    </w:p>
    <w:p>
      <w:r>
        <w:t xml:space="preserve">(2) Mit Ausnahme seiner §§ 2, 9 und 12 gelten die Regelungen des EU-Verbraucherschutzdurchführungsgesetzes hinsichtlich der Bestimmungen dieses Staatsvertrages zur Umsetzung der Artikel 9, 10, 11 und Artikel 19 bis 26 der Richtlinie 2010/13/EU bei innergemeinschaftlichen Verstößen entsprechend. Satz 1 gilt auch für Teleshoppingkanäle.</w:t>
      </w:r>
    </w:p>
    <w:p>
      <w:r>
        <w:rPr>
          <w:color w:val="555555"/>
          <w:sz w:val="17"/>
        </w:rPr>
        <w:t xml:space="preserve">Zitiervorschlag: § 4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