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MStV (Brandenburg) — Zulässige Produktplatzierung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Anforderungen nach § 8 Abs. 7 Satz 2 hinaus ist Produktplatzierung in Kinofilmen, Filmen und Serien, Sportsendungen und Sendungen der leichten Unterhaltung nur dann zulässig,</w:t>
      </w:r>
    </w:p>
    <w:p>
      <w:r>
        <w:t xml:space="preserve">wenn diese nicht vom Veranstalter selbst oder von einem mit dem Veranstalter verbundenen Unternehmen produziert oder in Auftrag gegeben wurden oder</w:t>
      </w:r>
    </w:p>
    <w:p>
      <w:r>
        <w:t xml:space="preserve">wenn kein Entgelt geleistet wird, sondern lediglich bestimmte Waren oder Dienstleistungen, wie Produktionshilfen und Preise, im Hinblick auf ihre Einbeziehung in eine Sendung kostenlos bereitgestellt werden.</w:t>
      </w:r>
    </w:p>
    <w:p>
      <w:r>
        <w:t xml:space="preserve">Keine Sendungen der leichten Unterhaltung sind insbesondere Sendungen, die neben unterhaltenden Elementen im Wesentlichen informierenden Charakter haben, und Ratgebersendungen mit Unterhaltungselementen.</w:t>
      </w:r>
    </w:p>
    <w:p>
      <w:r>
        <w:rPr>
          <w:color w:val="555555"/>
          <w:sz w:val="17"/>
        </w:rPr>
        <w:t xml:space="preserve">Zitiervorschlag: § 37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