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MStV (Brandenburg) — Funktionsgerechte Finanzausstattung, Grundsatz des Finanzausgleichs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Finanzausstattung hat den öffentlich-rechtlichen Rundfunk in die Lage zu versetzen, seine verfassungsmäßigen und gesetzlichen Aufgaben zu erfüllen; sie hat insbesondere den Bestand und die Entwicklung des öffentlich-rechtlichen Rundfunks zu gewährleisten.</w:t>
      </w:r>
    </w:p>
    <w:p>
      <w:r>
        <w:t xml:space="preserve">(2) Der Finanzausgleich unter den Landesrundfunkanstalten ist Bestandteil des Finanzierungssystems der ARD; er stellt insbesondere eine funktionsgerechte Aufgabenerfüllung der Anstalten Saarländischer Rundfunk und Radio Bremen sicher. Der Umfang der Finanzausgleichsmasse und ihre Anpassung an den Rundfunkbeitrag bestimmen sich nach dem Rundfunkfinanzierungsstaatsvertrag.</w:t>
      </w:r>
    </w:p>
    <w:p>
      <w:r>
        <w:rPr>
          <w:color w:val="555555"/>
          <w:sz w:val="17"/>
        </w:rPr>
        <w:t xml:space="preserve">Zitiervorschlag: § 32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