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31e MStV (Brandenburg) — Interessenkollision</w:t>
      </w:r>
    </w:p>
    <w:p>
      <w:r>
        <w:rPr>
          <w:color w:val="555555"/>
          <w:sz w:val="18"/>
        </w:rPr>
        <w:t xml:space="preserve">Medienstaatsvertrag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Mitglieder eines Aufsichtsgremiums dürfen keine wirtschaftlichen oder sonstigen Interessen haben, die geeignet sind, die Erfüllung ihrer Aufgaben als Mitglied zu gefährden (Interessenkollision).</w:t>
      </w:r>
    </w:p>
    <w:p>
      <w:r>
        <w:t xml:space="preserve">(2) Mitglieder eines Aufsichtsgremiums dürfen weder beratend noch entscheidend mitwirken, wenn bei der Entscheidung einer Angelegenheit ein Grund vorliegt, der geeignet ist, Misstrauen gegen die unparteiische Erfüllung ihrer Aufgaben zu rechtfertigen.</w:t>
      </w:r>
    </w:p>
    <w:p>
      <w:r>
        <w:t xml:space="preserve">(3) Liegen hinreichende Anhaltspunkte für das Vorliegen der Voraussetzungen des Absatzes 1 oder des Absatzes 2 bei einem Mitglied vor, informieren der Vorsitzende oder dessen Stellvertreter das Gremium. Ein betroffenes Mitglied hat Tatsachen, die die Voraussetzungen des Absatzes 1 oder des Absatzes 2 begründen können, unverzüglich dem Vorsitzenden des jeweiligen Gremiums und seinem Stellvertreter anzuzeigen. Das Gremium entscheidet über den Ausschluss. An dieser Entscheidung darf der Betroffene nicht mitwirken.</w:t>
      </w:r>
    </w:p>
    <w:p>
      <w:r>
        <w:t xml:space="preserve">(4) Über die Vorgaben der Absätze 1 bis 3 hinausgehende landesrechtliche Regelungen bleiben unberührt.</w:t>
      </w:r>
    </w:p>
    <w:p>
      <w:r>
        <w:rPr>
          <w:color w:val="555555"/>
          <w:sz w:val="17"/>
        </w:rPr>
        <w:t xml:space="preserve">Zitiervorschlag: § 31e MStV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https://recht.nulegal.eu/gesetze/MStV/31e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