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31b MStV (Brandenburg) — Compliance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haben jeweils ein wirksames Compliance Management System nach anerkannten Standards zu gewährleisten und nach dem aktuellen Stand fortzuschreiben. Sie haben jeweils eine in Ausübung der Tätigkeit unabhängige Compliance-Stelle oder einen Compliance-Beauftragten einzusetzen, die oder der regelmäßig an den Intendanten und an den Verwaltungsrat berichtet. Soweit ein Aufsichtsgremium unmittelbar berührt ist, ist auch an dieses zu berichten. Die Compliance-Stellen und -Beauftragten tauschen sich untereinander aus.</w:t>
      </w:r>
    </w:p>
    <w:p>
      <w:r>
        <w:t xml:space="preserve">(2) Darüber hinaus beauftragen die in der ARD zusammengeschlossenen Landesrundfunkanstalten, das ZDF und das Deutschlandradio jeweils eine Ombudsperson als externe Anlaufstelle für vertrauliche und anonyme Hinweise zu Rechts- und Regelverstößen in den jeweiligen Rundfunkanstalten. Die Ombudsperson soll die Befähigung zum Richteramt besitzen und darf keine wirtschaftlichen oder sonstigen Interessen haben, die geeignet sind, die neutrale und unabhängige Vertrauensstellung zu gefährden.</w:t>
      </w:r>
    </w:p>
    <w:p>
      <w:r>
        <w:rPr>
          <w:color w:val="555555"/>
          <w:sz w:val="17"/>
        </w:rPr>
        <w:t xml:space="preserve">Zitiervorschlag: § 31b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